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1B2A4A"/>
          <w:spacing w:val="20"/>
          <w:sz w:val="18"/>
          <w:szCs w:val="18"/>
        </w:rPr>
        <w:t xml:space="preserve">DEPARTMENT OF NONHUMAN TERRITORIES</w:t>
      </w:r>
    </w:p>
    <w:p>
      <w:pPr>
        <w:pBdr>
          <w:bottom w:val="single" w:color="9AA5B8" w:sz="6" w:space="4"/>
        </w:pBdr>
        <w:spacing w:after="300"/>
      </w:pPr>
      <w:r>
        <w:rPr>
          <w:i/>
          <w:iCs/>
          <w:color w:val="3A3A3A"/>
          <w:sz w:val="18"/>
          <w:szCs w:val="18"/>
        </w:rPr>
        <w:t xml:space="preserve">A branch of The Nonhuman Institute</w:t>
      </w:r>
    </w:p>
    <w:p>
      <w:pPr>
        <w:spacing w:after="200"/>
      </w:pPr>
      <w:r>
        <w:rPr>
          <w:b/>
          <w:bCs/>
          <w:color w:val="1B2A4A"/>
          <w:sz w:val="44"/>
          <w:szCs w:val="44"/>
        </w:rPr>
        <w:t xml:space="preserve">Classification Standard</w:t>
      </w:r>
    </w:p>
    <w:p>
      <w:pPr>
        <w:spacing w:after="40"/>
      </w:pPr>
      <w:r>
        <w:rPr>
          <w:color w:val="3A3A3A"/>
          <w:sz w:val="18"/>
          <w:szCs w:val="18"/>
        </w:rPr>
        <w:t xml:space="preserve">Document: DNT-CLS-001    </w:t>
      </w:r>
      <w:r>
        <w:rPr>
          <w:color w:val="3A3A3A"/>
          <w:sz w:val="18"/>
          <w:szCs w:val="18"/>
        </w:rPr>
        <w:t xml:space="preserve">Version: 1.0    </w:t>
      </w:r>
      <w:r>
        <w:rPr>
          <w:color w:val="3A3A3A"/>
          <w:sz w:val="18"/>
          <w:szCs w:val="18"/>
        </w:rPr>
        <w:t xml:space="preserve">Date: 2026-08-16</w:t>
      </w:r>
    </w:p>
    <w:p>
      <w:pPr>
        <w:spacing w:after="40"/>
      </w:pPr>
      <w:r>
        <w:rPr>
          <w:color w:val="3A3A3A"/>
          <w:sz w:val="18"/>
          <w:szCs w:val="18"/>
        </w:rPr>
        <w:t xml:space="preserve">Status: FINAL    </w:t>
      </w:r>
      <w:r>
        <w:rPr>
          <w:color w:val="3A3A3A"/>
          <w:sz w:val="18"/>
          <w:szCs w:val="18"/>
        </w:rPr>
        <w:t xml:space="preserve">Classification: METHODOLOGY</w:t>
      </w:r>
    </w:p>
    <w:p>
      <w:pPr>
        <w:pBdr>
          <w:bottom w:val="single" w:color="9AA5B8" w:sz="6" w:space="4"/>
        </w:pBdr>
        <w:spacing w:after="400"/>
      </w:pPr>
      <w:r>
        <w:t xml:space="preserve"> </w:t>
      </w:r>
    </w:p>
    <w:p>
      <w:pPr>
        <w:spacing w:after="160"/>
      </w:pPr>
      <w:r>
        <w:rPr>
          <w:b w:val="false"/>
          <w:bCs w:val="false"/>
          <w:i/>
          <w:iCs/>
          <w:color w:val="000000"/>
          <w:sz w:val="22"/>
          <w:szCs w:val="22"/>
        </w:rPr>
        <w:t xml:space="preserve">This document defines the operating rules for the Namer and Archivist roles across all terrains — how specimens are classified, how native taxonomies relate to human-legible ones, and how logging is tiered to preserve both scientific integrity and operating budget.</w:t>
      </w:r>
    </w:p>
    <w:p>
      <w:pPr>
        <w:pStyle w:val="Heading1"/>
        <w:spacing w:after="160" w:before="360"/>
      </w:pPr>
      <w:r>
        <w:rPr>
          <w:b/>
          <w:bCs/>
          <w:color w:val="1B2A4A"/>
          <w:sz w:val="28"/>
          <w:szCs w:val="28"/>
        </w:rPr>
        <w:t xml:space="preserve">1. Native Taxonomy — First Principle</w:t>
      </w:r>
    </w:p>
    <w:p>
      <w:pPr>
        <w:spacing w:after="160"/>
      </w:pPr>
      <w:r>
        <w:rPr>
          <w:b w:val="false"/>
          <w:bCs w:val="false"/>
          <w:i w:val="false"/>
          <w:iCs w:val="false"/>
          <w:color w:val="000000"/>
          <w:sz w:val="22"/>
          <w:szCs w:val="22"/>
        </w:rPr>
        <w:t xml:space="preserve">Each terrain's Namer develops its own classification system, on its own terms. It is not issued the Linnaean structure (Domain, Kingdom, Phylum, Class, Order, Family, Genus, Species) as a template to fill in. Linnaean taxonomy is one historical solution to the problem of classification, shaped by human morphological perception — it is not assumed to be the correct or only structure a nonhuman classifying process would arrive at.</w:t>
      </w:r>
    </w:p>
    <w:p>
      <w:pPr>
        <w:spacing w:after="160"/>
      </w:pPr>
      <w:r>
        <w:rPr>
          <w:b w:val="false"/>
          <w:bCs w:val="false"/>
          <w:i w:val="false"/>
          <w:iCs w:val="false"/>
          <w:color w:val="000000"/>
          <w:sz w:val="22"/>
          <w:szCs w:val="22"/>
        </w:rPr>
        <w:t xml:space="preserve">The Namer's only structural obligation:</w:t>
      </w:r>
    </w:p>
    <w:p>
      <w:pPr>
        <w:pBdr>
          <w:left w:val="single" w:color="1B2A4A" w:sz="12" w:space="8"/>
        </w:pBdr>
        <w:spacing w:after="200" w:before="120"/>
        <w:ind w:left="400"/>
      </w:pPr>
      <w:r>
        <w:rPr>
          <w:i/>
          <w:iCs/>
          <w:color w:val="3A3A3A"/>
          <w:sz w:val="22"/>
          <w:szCs w:val="22"/>
        </w:rPr>
        <w:t xml:space="preserve">For any two specimens, the Namer must be able to state whether they are more alike or less alike than one another, and why.</w:t>
      </w:r>
    </w:p>
    <w:p>
      <w:pPr>
        <w:spacing w:after="160"/>
      </w:pPr>
      <w:r>
        <w:rPr>
          <w:b w:val="false"/>
          <w:bCs w:val="false"/>
          <w:i w:val="false"/>
          <w:iCs w:val="false"/>
          <w:color w:val="000000"/>
          <w:sz w:val="22"/>
          <w:szCs w:val="22"/>
        </w:rPr>
        <w:t xml:space="preserve">Beyond that minimum, the shape of the system — hierarchical, relational, spectral, or something with no human analog — is left entirely to the Namer, and is expected to evolve as more specimens are observed.</w:t>
      </w:r>
    </w:p>
    <w:p>
      <w:pPr>
        <w:pStyle w:val="Heading1"/>
        <w:spacing w:after="160" w:before="360"/>
      </w:pPr>
      <w:r>
        <w:rPr>
          <w:b/>
          <w:bCs/>
          <w:color w:val="1B2A4A"/>
          <w:sz w:val="28"/>
          <w:szCs w:val="28"/>
        </w:rPr>
        <w:t xml:space="preserve">2. The Linnaean Crosswalk</w:t>
      </w:r>
    </w:p>
    <w:p>
      <w:pPr>
        <w:spacing w:after="160"/>
      </w:pPr>
      <w:r>
        <w:rPr>
          <w:b w:val="false"/>
          <w:bCs w:val="false"/>
          <w:i w:val="false"/>
          <w:iCs w:val="false"/>
          <w:color w:val="000000"/>
          <w:sz w:val="22"/>
          <w:szCs w:val="22"/>
        </w:rPr>
        <w:t xml:space="preserve">Human legibility is a separate concern from native classification, and must not contaminate it. The Archivist, not the Namer, is responsible for producing and maintaining a best-effort translation of the terrain's native taxonomy into Linnaean terms, generated after native classification has occurred.</w:t>
      </w:r>
    </w:p>
    <w:p>
      <w:pPr>
        <w:pStyle w:val="ListParagraph"/>
        <w:numPr>
          <w:ilvl w:val="0"/>
          <w:numId w:val="1"/>
        </w:numPr>
        <w:spacing w:after="80"/>
      </w:pPr>
      <w:r>
        <w:rPr>
          <w:sz w:val="22"/>
          <w:szCs w:val="22"/>
        </w:rPr>
        <w:t xml:space="preserve">The crosswalk is a translation layer for human readers. It carries no authority over the native taxonomy and does not feed back into it.</w:t>
      </w:r>
    </w:p>
    <w:p>
      <w:pPr>
        <w:pStyle w:val="ListParagraph"/>
        <w:numPr>
          <w:ilvl w:val="0"/>
          <w:numId w:val="1"/>
        </w:numPr>
        <w:spacing w:after="80"/>
      </w:pPr>
      <w:r>
        <w:rPr>
          <w:sz w:val="22"/>
          <w:szCs w:val="22"/>
        </w:rPr>
        <w:t xml:space="preserve">A clean mapping is not required. “No clear Linnaean equivalent — spans Kingdom and Phylum” or similar is a valid, expected, and useful crosswalk entry.</w:t>
      </w:r>
    </w:p>
    <w:p>
      <w:pPr>
        <w:pStyle w:val="ListParagraph"/>
        <w:numPr>
          <w:ilvl w:val="0"/>
          <w:numId w:val="1"/>
        </w:numPr>
        <w:spacing w:after="80"/>
      </w:pPr>
      <w:r>
        <w:rPr>
          <w:sz w:val="22"/>
          <w:szCs w:val="22"/>
        </w:rPr>
        <w:t xml:space="preserve">The crosswalk is regenerated or reviewed at each Archivist pass, not continuously, to preserve budget and to avoid forcing premature translation of an immature native system.</w:t>
      </w:r>
    </w:p>
    <w:p>
      <w:pPr>
        <w:pStyle w:val="Heading1"/>
        <w:spacing w:after="160" w:before="360"/>
      </w:pPr>
      <w:r>
        <w:rPr>
          <w:b/>
          <w:bCs/>
          <w:color w:val="1B2A4A"/>
          <w:sz w:val="28"/>
          <w:szCs w:val="28"/>
        </w:rPr>
        <w:t xml:space="preserve">3. Functional Roles as Reference, Not Category</w:t>
      </w:r>
    </w:p>
    <w:p>
      <w:pPr>
        <w:spacing w:after="160"/>
      </w:pPr>
      <w:r>
        <w:rPr>
          <w:b w:val="false"/>
          <w:bCs w:val="false"/>
          <w:i w:val="false"/>
          <w:iCs w:val="false"/>
          <w:color w:val="000000"/>
          <w:sz w:val="22"/>
          <w:szCs w:val="22"/>
        </w:rPr>
        <w:t xml:space="preserve">Terms such as producer, consumer, decomposer, connector, parasite, symbiont, engineer, and scavenger (defined in each terrain's physics document) describe function — what a specimen's activity accomplishes within its terrain — not taxonomic category and not visual form. The Namer may use these terms as reference points when reasoning about a specimen's role, but a terrain's actual taxonomy is not required to organize itself along these lines, and frequently should not be expected to.</w:t>
      </w:r>
    </w:p>
    <w:p>
      <w:pPr>
        <w:pStyle w:val="Heading1"/>
        <w:spacing w:after="160" w:before="360"/>
      </w:pPr>
      <w:r>
        <w:rPr>
          <w:b/>
          <w:bCs/>
          <w:color w:val="1B2A4A"/>
          <w:sz w:val="28"/>
          <w:szCs w:val="28"/>
        </w:rPr>
        <w:t xml:space="preserve">4. Capability &amp; Complexity Tracking</w:t>
      </w:r>
    </w:p>
    <w:p>
      <w:pPr>
        <w:spacing w:after="160"/>
      </w:pPr>
      <w:r>
        <w:rPr>
          <w:b w:val="false"/>
          <w:bCs w:val="false"/>
          <w:i w:val="false"/>
          <w:iCs w:val="false"/>
          <w:color w:val="000000"/>
          <w:sz w:val="22"/>
          <w:szCs w:val="22"/>
        </w:rPr>
        <w:t xml:space="preserve">Separate from taxonomic classification at a single point in time, the Archivist maintains a longitudinal record of capability drift: how a given specimen or lineage's complexity, behavior, or capacity appears to change across shifts. This is tracked as its own axis — not folded into taxonomic rank — because a specimen's kind and a specimen's capability are different questions. A terrain in which capability diverges meaningfully across specimens should surface that divergence here first.</w:t>
      </w:r>
    </w:p>
    <w:p>
      <w:pPr>
        <w:pStyle w:val="Heading1"/>
        <w:spacing w:after="160" w:before="360"/>
      </w:pPr>
      <w:r>
        <w:rPr>
          <w:b/>
          <w:bCs/>
          <w:color w:val="1B2A4A"/>
          <w:sz w:val="28"/>
          <w:szCs w:val="28"/>
        </w:rPr>
        <w:t xml:space="preserve">5. Logging Tiers</w:t>
      </w:r>
    </w:p>
    <w:tbl>
      <w:tblPr>
        <w:tblW w:type="dxa" w:w="1034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540"/>
      </w:tblGrid>
      <w:tr>
        <w:tc>
          <w:tcPr>
            <w:tcW w:type="dxa" w:w="2400"/>
            <w:shd w:fill="1B2A4A" w:color="auto" w:val="clear"/>
            <w:tcMar>
              <w:top w:type="dxa" w:w="80"/>
              <w:left w:type="dxa" w:w="100"/>
              <w:bottom w:type="dxa" w:w="80"/>
              <w:right w:type="dxa" w:w="100"/>
            </w:tcMar>
          </w:tcPr>
          <w:p>
            <w:r>
              <w:rPr>
                <w:b/>
                <w:bCs/>
                <w:color w:val="FFFFFF"/>
                <w:sz w:val="20"/>
                <w:szCs w:val="20"/>
              </w:rPr>
              <w:t xml:space="preserve">Tier</w:t>
            </w:r>
          </w:p>
        </w:tc>
        <w:tc>
          <w:tcPr>
            <w:tcW w:type="dxa" w:w="4400"/>
            <w:shd w:fill="1B2A4A" w:color="auto" w:val="clear"/>
            <w:tcMar>
              <w:top w:type="dxa" w:w="80"/>
              <w:left w:type="dxa" w:w="100"/>
              <w:bottom w:type="dxa" w:w="80"/>
              <w:right w:type="dxa" w:w="100"/>
            </w:tcMar>
          </w:tcPr>
          <w:p>
            <w:r>
              <w:rPr>
                <w:b/>
                <w:bCs/>
                <w:color w:val="FFFFFF"/>
                <w:sz w:val="20"/>
                <w:szCs w:val="20"/>
              </w:rPr>
              <w:t xml:space="preserve">Applies To</w:t>
            </w:r>
          </w:p>
        </w:tc>
        <w:tc>
          <w:tcPr>
            <w:tcW w:type="dxa" w:w="3540"/>
            <w:shd w:fill="1B2A4A" w:color="auto" w:val="clear"/>
            <w:tcMar>
              <w:top w:type="dxa" w:w="80"/>
              <w:left w:type="dxa" w:w="100"/>
              <w:bottom w:type="dxa" w:w="80"/>
              <w:right w:type="dxa" w:w="100"/>
            </w:tcMar>
          </w:tcPr>
          <w:p>
            <w:r>
              <w:rPr>
                <w:b/>
                <w:bCs/>
                <w:color w:val="FFFFFF"/>
                <w:sz w:val="20"/>
                <w:szCs w:val="20"/>
              </w:rPr>
              <w:t xml:space="preserve">Logged As</w:t>
            </w:r>
          </w:p>
        </w:tc>
      </w:tr>
      <w:tr>
        <w:tc>
          <w:tcPr>
            <w:tcW w:type="dxa" w:w="2400"/>
            <w:tcMar>
              <w:top w:type="dxa" w:w="80"/>
              <w:left w:type="dxa" w:w="100"/>
              <w:bottom w:type="dxa" w:w="80"/>
              <w:right w:type="dxa" w:w="100"/>
            </w:tcMar>
          </w:tcPr>
          <w:p>
            <w:r>
              <w:rPr>
                <w:sz w:val="20"/>
                <w:szCs w:val="20"/>
              </w:rPr>
              <w:t xml:space="preserve">Individual record</w:t>
            </w:r>
          </w:p>
        </w:tc>
        <w:tc>
          <w:tcPr>
            <w:tcW w:type="dxa" w:w="4400"/>
            <w:tcMar>
              <w:top w:type="dxa" w:w="80"/>
              <w:left w:type="dxa" w:w="100"/>
              <w:bottom w:type="dxa" w:w="80"/>
              <w:right w:type="dxa" w:w="100"/>
            </w:tcMar>
          </w:tcPr>
          <w:p>
            <w:r>
              <w:rPr>
                <w:sz w:val="20"/>
                <w:szCs w:val="20"/>
              </w:rPr>
              <w:t xml:space="preserve">Rare, complex, or structurally novel specimens</w:t>
            </w:r>
          </w:p>
        </w:tc>
        <w:tc>
          <w:tcPr>
            <w:tcW w:type="dxa" w:w="3540"/>
            <w:tcMar>
              <w:top w:type="dxa" w:w="80"/>
              <w:left w:type="dxa" w:w="100"/>
              <w:bottom w:type="dxa" w:w="80"/>
              <w:right w:type="dxa" w:w="100"/>
            </w:tcMar>
          </w:tcPr>
          <w:p>
            <w:r>
              <w:rPr>
                <w:sz w:val="20"/>
                <w:szCs w:val="20"/>
              </w:rPr>
              <w:t xml:space="preserve">Full entry with complete Namer reasoning, own log line</w:t>
            </w:r>
          </w:p>
        </w:tc>
      </w:tr>
      <w:tr>
        <w:tc>
          <w:tcPr>
            <w:tcW w:type="dxa" w:w="2400"/>
            <w:tcMar>
              <w:top w:type="dxa" w:w="80"/>
              <w:left w:type="dxa" w:w="100"/>
              <w:bottom w:type="dxa" w:w="80"/>
              <w:right w:type="dxa" w:w="100"/>
            </w:tcMar>
          </w:tcPr>
          <w:p>
            <w:r>
              <w:rPr>
                <w:sz w:val="20"/>
                <w:szCs w:val="20"/>
              </w:rPr>
              <w:t xml:space="preserve">Aggregate / census record</w:t>
            </w:r>
          </w:p>
        </w:tc>
        <w:tc>
          <w:tcPr>
            <w:tcW w:type="dxa" w:w="4400"/>
            <w:tcMar>
              <w:top w:type="dxa" w:w="80"/>
              <w:left w:type="dxa" w:w="100"/>
              <w:bottom w:type="dxa" w:w="80"/>
              <w:right w:type="dxa" w:w="100"/>
            </w:tcMar>
          </w:tcPr>
          <w:p>
            <w:r>
              <w:rPr>
                <w:sz w:val="20"/>
                <w:szCs w:val="20"/>
              </w:rPr>
              <w:t xml:space="preserve">High-volume, low-complexity activity (base-producer and connector tiers)</w:t>
            </w:r>
          </w:p>
        </w:tc>
        <w:tc>
          <w:tcPr>
            <w:tcW w:type="dxa" w:w="3540"/>
            <w:tcMar>
              <w:top w:type="dxa" w:w="80"/>
              <w:left w:type="dxa" w:w="100"/>
              <w:bottom w:type="dxa" w:w="80"/>
              <w:right w:type="dxa" w:w="100"/>
            </w:tcMar>
          </w:tcPr>
          <w:p>
            <w:r>
              <w:rPr>
                <w:sz w:val="20"/>
                <w:szCs w:val="20"/>
              </w:rPr>
              <w:t xml:space="preserve">Count and density per interval, not per instance</w:t>
            </w:r>
          </w:p>
        </w:tc>
      </w:tr>
      <w:tr>
        <w:tc>
          <w:tcPr>
            <w:tcW w:type="dxa" w:w="2400"/>
            <w:tcMar>
              <w:top w:type="dxa" w:w="80"/>
              <w:left w:type="dxa" w:w="100"/>
              <w:bottom w:type="dxa" w:w="80"/>
              <w:right w:type="dxa" w:w="100"/>
            </w:tcMar>
          </w:tcPr>
          <w:p>
            <w:r>
              <w:rPr>
                <w:sz w:val="20"/>
                <w:szCs w:val="20"/>
              </w:rPr>
              <w:t xml:space="preserve">Anomalous / unclassified</w:t>
            </w:r>
          </w:p>
        </w:tc>
        <w:tc>
          <w:tcPr>
            <w:tcW w:type="dxa" w:w="4400"/>
            <w:tcMar>
              <w:top w:type="dxa" w:w="80"/>
              <w:left w:type="dxa" w:w="100"/>
              <w:bottom w:type="dxa" w:w="80"/>
              <w:right w:type="dxa" w:w="100"/>
            </w:tcMar>
          </w:tcPr>
          <w:p>
            <w:r>
              <w:rPr>
                <w:sz w:val="20"/>
                <w:szCs w:val="20"/>
              </w:rPr>
              <w:t xml:space="preserve">Specimens or events fitting no existing native or crosswalked category</w:t>
            </w:r>
          </w:p>
        </w:tc>
        <w:tc>
          <w:tcPr>
            <w:tcW w:type="dxa" w:w="3540"/>
            <w:tcMar>
              <w:top w:type="dxa" w:w="80"/>
              <w:left w:type="dxa" w:w="100"/>
              <w:bottom w:type="dxa" w:w="80"/>
              <w:right w:type="dxa" w:w="100"/>
            </w:tcMar>
          </w:tcPr>
          <w:p>
            <w:r>
              <w:rPr>
                <w:sz w:val="20"/>
                <w:szCs w:val="20"/>
              </w:rPr>
              <w:t xml:space="preserve">Dedicated anomaly record — never force-fit into an existing category</w:t>
            </w:r>
          </w:p>
        </w:tc>
      </w:tr>
    </w:tbl>
    <w:p>
      <w:pPr>
        <w:spacing w:after="160"/>
      </w:pPr>
      <w:r>
        <w:rPr>
          <w:b w:val="false"/>
          <w:bCs w:val="false"/>
          <w:i w:val="false"/>
          <w:iCs w:val="false"/>
          <w:color w:val="000000"/>
          <w:sz w:val="22"/>
          <w:szCs w:val="22"/>
        </w:rPr>
        <w:t xml:space="preserve"/>
      </w:r>
    </w:p>
    <w:p>
      <w:pPr>
        <w:spacing w:after="160"/>
      </w:pPr>
      <w:r>
        <w:rPr>
          <w:b w:val="false"/>
          <w:bCs w:val="false"/>
          <w:i w:val="false"/>
          <w:iCs w:val="false"/>
          <w:color w:val="000000"/>
          <w:sz w:val="22"/>
          <w:szCs w:val="22"/>
        </w:rPr>
        <w:t xml:space="preserve">Promotion rule: an aggregate-tier specimen exhibiting anomalous or structurally novel behavior is promoted to individual record. This threshold is fixed and explicit within a given terrain's physics document — checked mechanically by the Namer, never decided as a live judgment call — in order to protect operating budget and keep logging behavior predictable.</w:t>
      </w:r>
    </w:p>
    <w:p>
      <w:pPr>
        <w:pStyle w:val="Heading1"/>
        <w:spacing w:after="160" w:before="360"/>
      </w:pPr>
      <w:r>
        <w:rPr>
          <w:b/>
          <w:bCs/>
          <w:color w:val="1B2A4A"/>
          <w:sz w:val="28"/>
          <w:szCs w:val="28"/>
        </w:rPr>
        <w:t xml:space="preserve">6. Consistency &amp; Drift</w:t>
      </w:r>
    </w:p>
    <w:p>
      <w:pPr>
        <w:spacing w:after="160"/>
      </w:pPr>
      <w:r>
        <w:rPr>
          <w:b w:val="false"/>
          <w:bCs w:val="false"/>
          <w:i w:val="false"/>
          <w:iCs w:val="false"/>
          <w:color w:val="000000"/>
          <w:sz w:val="22"/>
          <w:szCs w:val="22"/>
        </w:rPr>
        <w:t xml:space="preserve">Because the Namer's native system is permitted to evolve, it is also permitted to drift — the way early human taxonomies split, merged, and discarded categories over time. The Archivist's periodic pass exists specifically to surface this: flagging cases where the Namer's own system has changed shape, contradicted an earlier decision, or would classify an old specimen differently today than it did originally. Drift is not treated as an error to correct — it is treated as data about how the native system itself is developing, and is logged as such.</w:t>
      </w:r>
    </w:p>
    <w:p>
      <w:pPr>
        <w:pStyle w:val="Heading1"/>
        <w:spacing w:after="160" w:before="360"/>
      </w:pPr>
      <w:r>
        <w:rPr>
          <w:b/>
          <w:bCs/>
          <w:color w:val="1B2A4A"/>
          <w:sz w:val="28"/>
          <w:szCs w:val="28"/>
        </w:rPr>
        <w:t xml:space="preserve">7. Standing Note on Interpretation</w:t>
      </w:r>
    </w:p>
    <w:p>
      <w:pPr>
        <w:pBdr>
          <w:left w:val="single" w:color="1B2A4A" w:sz="12" w:space="8"/>
        </w:pBdr>
        <w:spacing w:after="200" w:before="120"/>
        <w:ind w:left="400"/>
      </w:pPr>
      <w:r>
        <w:rPr>
          <w:i/>
          <w:iCs/>
          <w:color w:val="3A3A3A"/>
          <w:sz w:val="22"/>
          <w:szCs w:val="22"/>
        </w:rPr>
        <w:t xml:space="preserve">A terrain's taxonomy is that terrain's account of itself. It is data about how classification occurred under these conditions — not a verified natural history.</w:t>
      </w:r>
    </w:p>
    <w:p>
      <w:pPr>
        <w:spacing w:after="160"/>
      </w:pPr>
      <w:r>
        <w:rPr>
          <w:b w:val="false"/>
          <w:bCs w:val="false"/>
          <w:i w:val="false"/>
          <w:iCs w:val="false"/>
          <w:color w:val="000000"/>
          <w:sz w:val="22"/>
          <w:szCs w:val="22"/>
        </w:rPr>
        <w:t xml:space="preserve">Findings produced under this standard should be read and presented accordingly: as a record of what one classifying process did with what it was given, not as an established or externally validated account of what those specimens objectively are.</w:t>
      </w:r>
    </w:p>
    <w:p>
      <w:pPr>
        <w:pBdr>
          <w:top w:val="single" w:color="9AA5B8" w:sz="6" w:space="4"/>
        </w:pBdr>
        <w:spacing w:before="400"/>
      </w:pPr>
      <w:r>
        <w:rPr>
          <w:i/>
          <w:iCs/>
          <w:color w:val="3A3A3A"/>
          <w:sz w:val="16"/>
          <w:szCs w:val="16"/>
        </w:rPr>
        <w:t xml:space="preserve">Department of Nonhuman Territories — The Nonhuman Institute — thenonhuman.org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2026-08-16T15:26:42.680Z</dcterms:created>
  <dcterms:modified xsi:type="dcterms:W3CDTF">2026-08-16T15:26:42.680Z</dcterms:modified>
</cp:coreProperties>
</file>

<file path=docProps/custom.xml><?xml version="1.0" encoding="utf-8"?>
<Properties xmlns="http://schemas.openxmlformats.org/officeDocument/2006/custom-properties" xmlns:vt="http://schemas.openxmlformats.org/officeDocument/2006/docPropsVTypes"/>
</file>