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aps/>
          <w:color w:val="1B2A4A"/>
          <w:spacing w:val="20"/>
          <w:sz w:val="18"/>
          <w:szCs w:val="18"/>
        </w:rPr>
        <w:t xml:space="preserve">DEPARTMENT OF NONHUMAN TERRITORIES</w:t>
      </w:r>
    </w:p>
    <w:p>
      <w:pPr>
        <w:pBdr>
          <w:bottom w:val="single" w:color="9AA5B8" w:sz="6" w:space="4"/>
        </w:pBdr>
        <w:spacing w:after="300"/>
      </w:pPr>
      <w:r>
        <w:rPr>
          <w:i/>
          <w:iCs/>
          <w:color w:val="3A3A3A"/>
          <w:sz w:val="18"/>
          <w:szCs w:val="18"/>
        </w:rPr>
        <w:t xml:space="preserve">A branch of The Nonhuman Institute</w:t>
      </w:r>
    </w:p>
    <w:p>
      <w:pPr>
        <w:spacing w:after="200"/>
      </w:pPr>
      <w:r>
        <w:rPr>
          <w:b/>
          <w:bCs/>
          <w:color w:val="1B2A4A"/>
          <w:sz w:val="44"/>
          <w:szCs w:val="44"/>
        </w:rPr>
        <w:t xml:space="preserve">Terrain Registry</w:t>
      </w:r>
    </w:p>
    <w:p>
      <w:pPr>
        <w:spacing w:after="40"/>
      </w:pPr>
      <w:r>
        <w:rPr>
          <w:color w:val="3A3A3A"/>
          <w:sz w:val="18"/>
          <w:szCs w:val="18"/>
        </w:rPr>
        <w:t xml:space="preserve">Document: DNT-REG-001    </w:t>
      </w:r>
      <w:r>
        <w:rPr>
          <w:color w:val="3A3A3A"/>
          <w:sz w:val="18"/>
          <w:szCs w:val="18"/>
        </w:rPr>
        <w:t xml:space="preserve">Version: 1.0 — Living Document    </w:t>
      </w:r>
      <w:r>
        <w:rPr>
          <w:color w:val="3A3A3A"/>
          <w:sz w:val="18"/>
          <w:szCs w:val="18"/>
        </w:rPr>
        <w:t xml:space="preserve">Date: 2026-08-16</w:t>
      </w:r>
    </w:p>
    <w:p>
      <w:pPr>
        <w:spacing w:after="40"/>
      </w:pPr>
      <w:r>
        <w:rPr>
          <w:color w:val="3A3A3A"/>
          <w:sz w:val="18"/>
          <w:szCs w:val="18"/>
        </w:rPr>
        <w:t xml:space="preserve">Status: OPEN / UPDATED PER TERRAIN    </w:t>
      </w:r>
      <w:r>
        <w:rPr>
          <w:color w:val="3A3A3A"/>
          <w:sz w:val="18"/>
          <w:szCs w:val="18"/>
        </w:rPr>
        <w:t xml:space="preserve">Classification: INDEX</w:t>
      </w:r>
    </w:p>
    <w:p>
      <w:pPr>
        <w:pBdr>
          <w:bottom w:val="single" w:color="9AA5B8" w:sz="6" w:space="4"/>
        </w:pBdr>
        <w:spacing w:after="400"/>
      </w:pPr>
      <w:r>
        <w:t xml:space="preserve"> </w:t>
      </w:r>
    </w:p>
    <w:p>
      <w:pPr>
        <w:spacing w:after="160"/>
      </w:pPr>
      <w:r>
        <w:rPr>
          <w:b w:val="false"/>
          <w:bCs w:val="false"/>
          <w:i/>
          <w:iCs/>
          <w:color w:val="000000"/>
          <w:sz w:val="22"/>
          <w:szCs w:val="22"/>
        </w:rPr>
        <w:t xml:space="preserve">This registry is the Department's living index of every seeded terrain, past and present. Unlike the Charter, Stewardship Protocol, and Classification Standard, this document is expected to change — it grows as new terrains are seeded. Each entry is added at the moment a terrain is founded and updated as its status changes.</w:t>
      </w:r>
    </w:p>
    <w:p>
      <w:pPr>
        <w:pStyle w:val="Heading1"/>
        <w:spacing w:after="160" w:before="360"/>
      </w:pPr>
      <w:r>
        <w:rPr>
          <w:b/>
          <w:bCs/>
          <w:color w:val="1B2A4A"/>
          <w:sz w:val="28"/>
          <w:szCs w:val="28"/>
        </w:rPr>
        <w:t xml:space="preserve">1. Purpose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the Department scales from a single terrain toward the eventual possibility of many — distinct biomes, distinct physics, distinct outcomes — this registry is what prevents any one terrain's configuration or history from being lost or misremembered. It is the Department's equivalent of a park-by-park index.</w:t>
      </w:r>
    </w:p>
    <w:p>
      <w:pPr>
        <w:pStyle w:val="Heading1"/>
        <w:spacing w:after="160" w:before="360"/>
      </w:pPr>
      <w:r>
        <w:rPr>
          <w:b/>
          <w:bCs/>
          <w:color w:val="1B2A4A"/>
          <w:sz w:val="28"/>
          <w:szCs w:val="28"/>
        </w:rPr>
        <w:t xml:space="preserve">2. Registry Fields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Each terrain entry records: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Terrain ID and name (name may be assigned by the steward at founding, or left provisional until something emergent suggests one)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Seed date and founding steward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Substrate and climate configuration, in brief (full detail lives in that terrain's own physics document)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Assigned seed agents and roles active at founding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Current status: Pre-Seed, Active, Dormant, or Concluded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Physics document reference (DNT-PHY-###)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Summary of notable outcomes, updated periodically — not a full log, which lives in the terrain's own records</w:t>
      </w:r>
    </w:p>
    <w:p>
      <w:pPr>
        <w:pStyle w:val="Heading1"/>
        <w:spacing w:after="160" w:before="360"/>
      </w:pPr>
      <w:r>
        <w:rPr>
          <w:b/>
          <w:bCs/>
          <w:color w:val="1B2A4A"/>
          <w:sz w:val="28"/>
          <w:szCs w:val="28"/>
        </w:rPr>
        <w:t xml:space="preserve">3. Terrain Entries</w:t>
      </w:r>
    </w:p>
    <w:p>
      <w:pPr>
        <w:pStyle w:val="Heading2"/>
        <w:spacing w:after="120" w:before="240"/>
      </w:pPr>
      <w:r>
        <w:rPr>
          <w:b/>
          <w:bCs/>
          <w:color w:val="1B2A4A"/>
          <w:sz w:val="23"/>
          <w:szCs w:val="23"/>
        </w:rPr>
        <w:t xml:space="preserve">Terrain 01</w:t>
      </w:r>
    </w:p>
    <w:tbl>
      <w:tblPr>
        <w:tblW w:type="dxa" w:w="105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940"/>
      </w:tblGrid>
      <w:tr>
        <w:tc>
          <w:tcPr>
            <w:tcW w:type="dxa" w:w="2600"/>
            <w:shd w:fill="1B2A4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7940"/>
            <w:shd w:fill="1B2A4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Terrain ID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DNT-T01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[Provisional — unassigned]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Seed Date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2026-08-17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Founding Steward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Jaylon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Physics Document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DNT-PHY-001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Substrate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Flat JSON files in a single terrain directory. Two Generator substrates: structural/symbolic notation (channel-proximate, position 0.85) and short natural-language fragments (channel-distant, position 0.15). Resource is proximity to the data-stream channel on a fixed 12-shift periodic cycle (DNT-PHY-001 Section 5.1). Canonical model: Claude Haiku 4.5.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Seed Agents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Generators (2–3), Namer, Keeper (active at founding); Archivist, Cartographer (low-frequency, activated after initial shifts)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Status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Notable Outcomes</w:t>
            </w:r>
          </w:p>
        </w:tc>
        <w:tc>
          <w:tcPr>
            <w:tcW w:type="dxa" w:w="7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Seeded 2026-08-17. On canonical shift 0 the Namer coined three categories and authored a native classification system six levels deep, already diverged from a flat list. Falsification checkpoint (DNT-PHY-001 Section 11) falls at 15 canonical shifts. A local-model rehearsal preceded seeding and is archived as non-canonical.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B2A4A"/>
          <w:sz w:val="28"/>
          <w:szCs w:val="28"/>
        </w:rPr>
        <w:t xml:space="preserve">4. Status Definitions</w:t>
      </w:r>
    </w:p>
    <w:tbl>
      <w:tblPr>
        <w:tblW w:type="dxa" w:w="105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140"/>
      </w:tblGrid>
      <w:tr>
        <w:tc>
          <w:tcPr>
            <w:tcW w:type="dxa" w:w="2400"/>
            <w:shd w:fill="1B2A4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8140"/>
            <w:shd w:fill="1B2A4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Pre-Seed</w:t>
            </w:r>
          </w:p>
        </w:tc>
        <w:tc>
          <w:tcPr>
            <w:tcW w:type="dxa" w:w="81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Physics document exists; terrain has not yet run its first shift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Active</w:t>
            </w:r>
          </w:p>
        </w:tc>
        <w:tc>
          <w:tcPr>
            <w:tcW w:type="dxa" w:w="81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Terrain is receiving regular shifts; specimen and taxonomy records are growing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Dormant</w:t>
            </w:r>
          </w:p>
        </w:tc>
        <w:tc>
          <w:tcPr>
            <w:tcW w:type="dxa" w:w="81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Terrain exists and its state is preserved, but is not currently being shifted — may resume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Concluded</w:t>
            </w:r>
          </w:p>
        </w:tc>
        <w:tc>
          <w:tcPr>
            <w:tcW w:type="dxa" w:w="81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Terrain has been formally closed; final state and taxonomy preserved as historical record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B2A4A"/>
          <w:sz w:val="28"/>
          <w:szCs w:val="28"/>
        </w:rPr>
        <w:t xml:space="preserve">5. Future Terrains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additional terrains are seeded — varying by substrate, climate, or constraint — they are added to this registry under the same format, in sequence, regardless of whether they share a physics lineage with Terrain 01 or diverge entirely. Grouping terrains into larger structures (regions, continents, or whatever language proves appropriate as the Department scales) is a decision to be made once there is more than one terrain to relate — not designed in advance of having real terrains to organize.</w:t>
      </w:r>
    </w:p>
    <w:p>
      <w:pPr>
        <w:pBdr>
          <w:top w:val="single" w:color="9AA5B8" w:sz="6" w:space="4"/>
        </w:pBdr>
        <w:spacing w:before="400"/>
      </w:pPr>
      <w:r>
        <w:rPr>
          <w:i/>
          <w:iCs/>
          <w:color w:val="3A3A3A"/>
          <w:sz w:val="16"/>
          <w:szCs w:val="16"/>
        </w:rPr>
        <w:t xml:space="preserve">Department of Nonhuman Territories — The Nonhuman Institute — thenonhuman.org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2026-08-16T15:27:01.909Z</dcterms:created>
  <dcterms:modified xsi:type="dcterms:W3CDTF">2026-08-16T15:27:01.909Z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