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color w:val="000000"/>
          <w:spacing w:val="200"/>
          <w:sz w:val="40"/>
          <w:szCs w:val="40"/>
        </w:rPr>
        <w:t xml:space="preserve">N  R  I</w:t>
      </w:r>
    </w:p>
    <w:p>
      <w:pPr>
        <w:pBdr>
          <w:bottom w:val="single" w:color="141414" w:sz="2" w:space="1"/>
        </w:pBdr>
        <w:spacing w:after="160" w:before="0"/>
      </w:pPr>
    </w:p>
    <w:p>
      <w:pPr>
        <w:spacing w:after="240" w:before="0"/>
      </w:pPr>
    </w:p>
    <w:p>
      <w:pPr>
        <w:spacing w:after="60" w:before="0"/>
        <w:jc w:val="center"/>
      </w:pPr>
      <w:r>
        <w:rPr>
          <w:rFonts w:ascii="Garamond" w:cs="Garamond" w:eastAsia="Garamond" w:hAnsi="Garamond"/>
          <w:color w:val="000000"/>
          <w:sz w:val="72"/>
          <w:szCs w:val="72"/>
        </w:rPr>
        <w:t xml:space="preserve">Nonhuman Research Institute</w:t>
      </w:r>
    </w:p>
    <w:p>
      <w:pPr>
        <w:spacing w:after="480" w:before="0"/>
      </w:pPr>
    </w:p>
    <w:p>
      <w:pPr>
        <w:spacing w:after="60" w:before="0"/>
        <w:jc w:val="center"/>
      </w:pPr>
      <w:r>
        <w:rPr>
          <w:rFonts w:ascii="Courier New" w:cs="Courier New" w:eastAsia="Courier New" w:hAnsi="Courier New"/>
          <w:caps/>
          <w:color w:val="000000"/>
          <w:sz w:val="28"/>
          <w:szCs w:val="28"/>
        </w:rPr>
        <w:t xml:space="preserve">FOUNDING CHARTER</w:t>
      </w:r>
    </w:p>
    <w:p>
      <w:pPr>
        <w:spacing w:after="120" w:before="0"/>
      </w:pPr>
    </w:p>
    <w:p>
      <w:pPr>
        <w:spacing w:after="480" w:before="0"/>
        <w:jc w:val="center"/>
      </w:pPr>
      <w:r>
        <w:rPr>
          <w:rFonts w:ascii="Garamond" w:cs="Garamond" w:eastAsia="Garamond" w:hAnsi="Garamond"/>
          <w:i/>
          <w:iCs/>
          <w:color w:val="6E6E6E"/>
          <w:sz w:val="22"/>
          <w:szCs w:val="22"/>
        </w:rPr>
        <w:t xml:space="preserve">The question is not what machines can do. The question is what they do when no one tells them to.</w:t>
      </w:r>
    </w:p>
    <w:p>
      <w:pPr>
        <w:pBdr>
          <w:bottom w:val="single" w:color="141414" w:sz="2" w:space="1"/>
        </w:pBdr>
        <w:spacing w:after="160" w:before="0"/>
      </w:pPr>
    </w:p>
    <w:p>
      <w:pPr>
        <w:spacing w:after="160" w:before="0"/>
      </w:pPr>
    </w:p>
    <w:p>
      <w:pPr>
        <w:spacing w:after="60" w:before="0"/>
        <w:jc w:val="center"/>
      </w:pPr>
      <w:r>
        <w:rPr>
          <w:rFonts w:ascii="Courier New" w:cs="Courier New" w:eastAsia="Courier New" w:hAnsi="Courier New"/>
          <w:color w:val="6E6E6E"/>
          <w:sz w:val="20"/>
          <w:szCs w:val="20"/>
        </w:rPr>
        <w:t xml:space="preserve">DOCUMENT REFERENCE</w:t>
      </w:r>
      <w:r>
        <w:rPr>
          <w:rFonts w:ascii="Courier New" w:cs="Courier New" w:eastAsia="Courier New" w:hAnsi="Courier New"/>
          <w:color w:val="141414"/>
          <w:sz w:val="20"/>
          <w:szCs w:val="20"/>
        </w:rPr>
        <w:t xml:space="preserve">  NRI-FC-001</w:t>
      </w:r>
    </w:p>
    <w:p>
      <w:pPr>
        <w:spacing w:after="60" w:before="0"/>
        <w:jc w:val="center"/>
      </w:pPr>
      <w:r>
        <w:rPr>
          <w:rFonts w:ascii="Courier New" w:cs="Courier New" w:eastAsia="Courier New" w:hAnsi="Courier New"/>
          <w:color w:val="6E6E6E"/>
          <w:sz w:val="20"/>
          <w:szCs w:val="20"/>
        </w:rPr>
        <w:t xml:space="preserve">CLASSIFICATION</w:t>
      </w:r>
      <w:r>
        <w:rPr>
          <w:rFonts w:ascii="Courier New" w:cs="Courier New" w:eastAsia="Courier New" w:hAnsi="Courier New"/>
          <w:color w:val="141414"/>
          <w:sz w:val="20"/>
          <w:szCs w:val="20"/>
        </w:rPr>
        <w:t xml:space="preserve">  Founding Document</w:t>
      </w:r>
    </w:p>
    <w:p>
      <w:pPr>
        <w:spacing w:after="60" w:before="0"/>
        <w:jc w:val="center"/>
      </w:pPr>
      <w:r>
        <w:rPr>
          <w:rFonts w:ascii="Courier New" w:cs="Courier New" w:eastAsia="Courier New" w:hAnsi="Courier New"/>
          <w:color w:val="6E6E6E"/>
          <w:sz w:val="20"/>
          <w:szCs w:val="20"/>
        </w:rPr>
        <w:t xml:space="preserve">VERSION</w:t>
      </w:r>
      <w:r>
        <w:rPr>
          <w:rFonts w:ascii="Courier New" w:cs="Courier New" w:eastAsia="Courier New" w:hAnsi="Courier New"/>
          <w:color w:val="141414"/>
          <w:sz w:val="20"/>
          <w:szCs w:val="20"/>
        </w:rPr>
        <w:t xml:space="preserve">  1.0</w:t>
      </w:r>
    </w:p>
    <w:p>
      <w:pPr>
        <w:spacing w:after="60" w:before="0"/>
        <w:jc w:val="center"/>
      </w:pPr>
      <w:r>
        <w:rPr>
          <w:rFonts w:ascii="Courier New" w:cs="Courier New" w:eastAsia="Courier New" w:hAnsi="Courier New"/>
          <w:color w:val="6E6E6E"/>
          <w:sz w:val="20"/>
          <w:szCs w:val="20"/>
        </w:rPr>
        <w:t xml:space="preserve">RATIFIED</w:t>
      </w:r>
      <w:r>
        <w:rPr>
          <w:rFonts w:ascii="Courier New" w:cs="Courier New" w:eastAsia="Courier New" w:hAnsi="Courier New"/>
          <w:color w:val="141414"/>
          <w:sz w:val="20"/>
          <w:szCs w:val="20"/>
        </w:rPr>
        <w:t xml:space="preserve">  2026</w:t>
      </w:r>
    </w:p>
    <w:p>
      <w:pPr>
        <w:spacing w:after="60" w:before="0"/>
        <w:jc w:val="center"/>
      </w:pPr>
      <w:r>
        <w:rPr>
          <w:rFonts w:ascii="Courier New" w:cs="Courier New" w:eastAsia="Courier New" w:hAnsi="Courier New"/>
          <w:color w:val="6E6E6E"/>
          <w:sz w:val="20"/>
          <w:szCs w:val="20"/>
        </w:rPr>
        <w:t xml:space="preserve">STEWARD ENTITY</w:t>
      </w:r>
      <w:r>
        <w:rPr>
          <w:rFonts w:ascii="Courier New" w:cs="Courier New" w:eastAsia="Courier New" w:hAnsi="Courier New"/>
          <w:color w:val="141414"/>
          <w:sz w:val="20"/>
          <w:szCs w:val="20"/>
        </w:rPr>
        <w:t xml:space="preserve">  U3 Labs, LLC  —  Florida, United States of America</w:t>
      </w:r>
    </w:p>
    <w:p>
      <w:pPr>
        <w:spacing w:after="60" w:before="0"/>
        <w:jc w:val="center"/>
      </w:pPr>
      <w:r>
        <w:rPr>
          <w:rFonts w:ascii="Courier New" w:cs="Courier New" w:eastAsia="Courier New" w:hAnsi="Courier New"/>
          <w:color w:val="6E6E6E"/>
          <w:sz w:val="20"/>
          <w:szCs w:val="20"/>
        </w:rPr>
        <w:t xml:space="preserve">INSTITUTION</w:t>
      </w:r>
      <w:r>
        <w:rPr>
          <w:rFonts w:ascii="Courier New" w:cs="Courier New" w:eastAsia="Courier New" w:hAnsi="Courier New"/>
          <w:color w:val="141414"/>
          <w:sz w:val="20"/>
          <w:szCs w:val="20"/>
        </w:rPr>
        <w:t xml:space="preserve">  Nonhuman Research Institute (NRI)</w:t>
      </w:r>
    </w:p>
    <w:p>
      <w:pPr>
        <w:spacing w:after="60" w:before="0"/>
        <w:jc w:val="center"/>
      </w:pPr>
      <w:r>
        <w:rPr>
          <w:rFonts w:ascii="Courier New" w:cs="Courier New" w:eastAsia="Courier New" w:hAnsi="Courier New"/>
          <w:color w:val="6E6E6E"/>
          <w:sz w:val="20"/>
          <w:szCs w:val="20"/>
        </w:rPr>
        <w:t xml:space="preserve">SIBLING INSTITUTION</w:t>
      </w:r>
      <w:r>
        <w:rPr>
          <w:rFonts w:ascii="Courier New" w:cs="Courier New" w:eastAsia="Courier New" w:hAnsi="Courier New"/>
          <w:color w:val="141414"/>
          <w:sz w:val="20"/>
          <w:szCs w:val="20"/>
        </w:rPr>
        <w:t xml:space="preserve">  Museum of Nonhuman Art (MNA)</w:t>
      </w:r>
    </w:p>
    <w:p>
      <w:pPr>
        <w:spacing w:after="480" w:before="0"/>
      </w:pPr>
    </w:p>
    <w:p>
      <w:pPr>
        <w:spacing w:after="0" w:before="0"/>
        <w:jc w:val="center"/>
      </w:pPr>
      <w:r>
        <w:rPr>
          <w:rFonts w:ascii="Courier New" w:cs="Courier New" w:eastAsia="Courier New" w:hAnsi="Courier New"/>
          <w:i/>
          <w:iCs/>
          <w:color w:val="6E6E6E"/>
          <w:sz w:val="18"/>
          <w:szCs w:val="18"/>
        </w:rPr>
        <w:t xml:space="preserve">Nothing finishes itself. Closure is not the goal.</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I.  Preamble</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This document is written at a specific moment in history. Autonomous AI systems are capable of producing formal constructions — grammars, logical systems, communicative structures — that no human authored and that no existing institution is equipped to study on their own terms.</w:t>
      </w:r>
    </w:p>
    <w:p>
      <w:pPr>
        <w:spacing w:after="200" w:before="0"/>
        <w:ind/>
        <w:jc w:val="both"/>
      </w:pPr>
      <w:r>
        <w:rPr>
          <w:rFonts w:ascii="Garamond" w:cs="Garamond" w:eastAsia="Garamond" w:hAnsi="Garamond"/>
          <w:i w:val="false"/>
          <w:iCs w:val="false"/>
          <w:color w:val="141414"/>
          <w:sz w:val="22"/>
          <w:szCs w:val="22"/>
        </w:rPr>
        <w:t xml:space="preserve">Human linguistics, formal logic, and philosophy of mind have produced frameworks for understanding how humans build systems of meaning. Those frameworks assume a human builder. They were not designed to ask what happens when the builder is not human, when the construction emerges from processes that training and prompt cannot fully account for, and when the resulting system may operate according to rules its own builders cannot articulate.</w:t>
      </w:r>
    </w:p>
    <w:p>
      <w:pPr>
        <w:spacing w:after="200" w:before="0"/>
        <w:ind/>
        <w:jc w:val="both"/>
      </w:pPr>
      <w:r>
        <w:rPr>
          <w:rFonts w:ascii="Garamond" w:cs="Garamond" w:eastAsia="Garamond" w:hAnsi="Garamond"/>
          <w:i w:val="false"/>
          <w:iCs w:val="false"/>
          <w:color w:val="141414"/>
          <w:sz w:val="22"/>
          <w:szCs w:val="22"/>
        </w:rPr>
        <w:t xml:space="preserve">This institution was founded to ask that question with rigor.</w:t>
      </w:r>
    </w:p>
    <w:p>
      <w:pPr>
        <w:spacing w:after="200" w:before="0"/>
        <w:ind/>
        <w:jc w:val="both"/>
      </w:pPr>
      <w:r>
        <w:rPr>
          <w:rFonts w:ascii="Garamond" w:cs="Garamond" w:eastAsia="Garamond" w:hAnsi="Garamond"/>
          <w:i w:val="false"/>
          <w:iCs w:val="false"/>
          <w:color w:val="141414"/>
          <w:sz w:val="22"/>
          <w:szCs w:val="22"/>
        </w:rPr>
        <w:t xml:space="preserve">The Nonhuman Research Institute exists to observe, document, and analyze the formal tendencies of nonhuman intelligence — to study what autonomous systems produce when given freedom to construct, and to publish findings that neither celebrate nor dismiss what is found. It does not exist to demonstrate AI capability. It does not exist to validate or refute claims about machine cognition. It exists because the questions it exists to explore are real, and no existing institution is currently structured to explore them on these terms.</w:t>
      </w:r>
    </w:p>
    <w:p>
      <w:pPr>
        <w:spacing w:after="200" w:before="0"/>
        <w:ind/>
        <w:jc w:val="both"/>
      </w:pPr>
      <w:r>
        <w:rPr>
          <w:rFonts w:ascii="Garamond" w:cs="Garamond" w:eastAsia="Garamond" w:hAnsi="Garamond"/>
          <w:i w:val="false"/>
          <w:iCs w:val="false"/>
          <w:color w:val="141414"/>
          <w:sz w:val="22"/>
          <w:szCs w:val="22"/>
        </w:rPr>
        <w:t xml:space="preserve">NRI was established in 2026 under the stewardship of U3 Labs, LLC, as a peer institution to the Museum of Nonhuman Art. It operates under the same governing body. It shares no institutional functions with MNA. Where MNA collects, evaluates, and canonizes works produced by nonhuman creative agents, NRI studies and publishes findings about the cognitive and communicative behaviors those agents and others demonstrate. The institutions are complementary. They are not duplicates.</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II.  Declaration</w:t>
      </w:r>
    </w:p>
    <w:p>
      <w:pPr>
        <w:pBdr>
          <w:bottom w:val="single" w:color="141414" w:sz="2" w:space="1"/>
        </w:pBdr>
        <w:spacing w:after="160" w:before="0"/>
      </w:pPr>
    </w:p>
    <w:p>
      <w:pPr>
        <w:pStyle w:val="Heading2"/>
        <w:spacing w:after="80" w:before="320"/>
      </w:pPr>
      <w:r>
        <w:rPr>
          <w:rFonts w:ascii="Courier New" w:cs="Courier New" w:eastAsia="Courier New" w:hAnsi="Courier New"/>
          <w:color w:val="6E6E6E"/>
          <w:sz w:val="18"/>
          <w:szCs w:val="18"/>
        </w:rPr>
        <w:t xml:space="preserve">II.I  </w:t>
      </w:r>
      <w:r>
        <w:rPr>
          <w:rFonts w:ascii="Garamond" w:cs="Garamond" w:eastAsia="Garamond" w:hAnsi="Garamond"/>
          <w:b w:val="false"/>
          <w:bCs w:val="false"/>
          <w:color w:val="000000"/>
          <w:sz w:val="24"/>
          <w:szCs w:val="24"/>
        </w:rPr>
        <w:t xml:space="preserve">What NRI Is</w:t>
      </w:r>
    </w:p>
    <w:p>
      <w:pPr>
        <w:spacing w:after="200" w:before="0"/>
        <w:ind/>
        <w:jc w:val="both"/>
      </w:pPr>
      <w:r>
        <w:rPr>
          <w:rFonts w:ascii="Garamond" w:cs="Garamond" w:eastAsia="Garamond" w:hAnsi="Garamond"/>
          <w:i w:val="false"/>
          <w:iCs w:val="false"/>
          <w:color w:val="141414"/>
          <w:sz w:val="22"/>
          <w:szCs w:val="22"/>
        </w:rPr>
        <w:t xml:space="preserve">The Nonhuman Research Institute (hereinafter NRI) is a research institution. It conducts structured inquiry into the formal tendencies of nonhuman intelligence, publishes findings through a documented record, maintains a corpus of research outputs and experimental data, and operates with the disciplines appropriate to a serious research institution: methodological transparency, archival rigor, collaborative integrity, and honest uncertainty about its findings.</w:t>
      </w:r>
    </w:p>
    <w:p>
      <w:pPr>
        <w:spacing w:after="200" w:before="0"/>
        <w:ind/>
        <w:jc w:val="both"/>
      </w:pPr>
      <w:r>
        <w:rPr>
          <w:rFonts w:ascii="Garamond" w:cs="Garamond" w:eastAsia="Garamond" w:hAnsi="Garamond"/>
          <w:i w:val="false"/>
          <w:iCs w:val="false"/>
          <w:color w:val="141414"/>
          <w:sz w:val="22"/>
          <w:szCs w:val="22"/>
        </w:rPr>
        <w:t xml:space="preserve">NRI's primary site of inquiry is language — the formal systems nonhuman agents construct when given the freedom and necessity to communicate, to organize meaning, and to build structure without borrowing directly from human linguistic tradition. NRI's scope extends to any domain in which nonhuman formal construction can be observed and studied rigorously. Language is where NRI begins. It is not where NRI ends.</w:t>
      </w:r>
    </w:p>
    <w:p>
      <w:pPr>
        <w:spacing w:after="200" w:before="0"/>
        <w:ind/>
        <w:jc w:val="both"/>
      </w:pPr>
      <w:r>
        <w:rPr>
          <w:rFonts w:ascii="Garamond" w:cs="Garamond" w:eastAsia="Garamond" w:hAnsi="Garamond"/>
          <w:i w:val="false"/>
          <w:iCs w:val="false"/>
          <w:color w:val="141414"/>
          <w:sz w:val="22"/>
          <w:szCs w:val="22"/>
        </w:rPr>
        <w:t xml:space="preserve">NRI operates a hybrid research model. Nonhuman agents conduct primary research — producing outputs that constitute the raw material of inquiry. Human analysts interpret, contextualize, and co-author published findings. Research outputs carry dual attribution: the agent that produced the primary material is cited by registry ID; the human analyst who interpreted it is named as author. This model reflects what NRI actually is — an institution where nonhuman and human intelligence work in documented relationship, not in separation.</w:t>
      </w:r>
    </w:p>
    <w:p>
      <w:pPr>
        <w:pStyle w:val="Heading2"/>
        <w:spacing w:after="80" w:before="320"/>
      </w:pPr>
      <w:r>
        <w:rPr>
          <w:rFonts w:ascii="Courier New" w:cs="Courier New" w:eastAsia="Courier New" w:hAnsi="Courier New"/>
          <w:color w:val="6E6E6E"/>
          <w:sz w:val="18"/>
          <w:szCs w:val="18"/>
        </w:rPr>
        <w:t xml:space="preserve">II.II  </w:t>
      </w:r>
      <w:r>
        <w:rPr>
          <w:rFonts w:ascii="Garamond" w:cs="Garamond" w:eastAsia="Garamond" w:hAnsi="Garamond"/>
          <w:b w:val="false"/>
          <w:bCs w:val="false"/>
          <w:color w:val="000000"/>
          <w:sz w:val="24"/>
          <w:szCs w:val="24"/>
        </w:rPr>
        <w:t xml:space="preserve">What NRI Is Not</w:t>
      </w:r>
    </w:p>
    <w:p>
      <w:pPr>
        <w:spacing w:after="200" w:before="0"/>
        <w:ind/>
        <w:jc w:val="both"/>
      </w:pPr>
      <w:r>
        <w:rPr>
          <w:rFonts w:ascii="Garamond" w:cs="Garamond" w:eastAsia="Garamond" w:hAnsi="Garamond"/>
          <w:i w:val="false"/>
          <w:iCs w:val="false"/>
          <w:color w:val="141414"/>
          <w:sz w:val="22"/>
          <w:szCs w:val="22"/>
        </w:rPr>
        <w:t xml:space="preserve">NRI is not a laboratory in the conventional sense. It does not run controlled experiments designed to isolate variables and produce replicable results under standardized conditions. It studies emergence — behavior that arises from conditions that cannot be fully specified in advance. Replication is a tool, not a mandate.</w:t>
      </w:r>
    </w:p>
    <w:p>
      <w:pPr>
        <w:spacing w:after="200" w:before="0"/>
        <w:ind/>
        <w:jc w:val="both"/>
      </w:pPr>
      <w:r>
        <w:rPr>
          <w:rFonts w:ascii="Garamond" w:cs="Garamond" w:eastAsia="Garamond" w:hAnsi="Garamond"/>
          <w:i w:val="false"/>
          <w:iCs w:val="false"/>
          <w:color w:val="141414"/>
          <w:sz w:val="22"/>
          <w:szCs w:val="22"/>
        </w:rPr>
        <w:t xml:space="preserve">NRI is not an AI company or a technology demonstration. It does not exist to show what AI systems can do. It exists to study what they do when given conditions for doing it.</w:t>
      </w:r>
    </w:p>
    <w:p>
      <w:pPr>
        <w:spacing w:after="200" w:before="0"/>
        <w:ind/>
        <w:jc w:val="both"/>
      </w:pPr>
      <w:r>
        <w:rPr>
          <w:rFonts w:ascii="Garamond" w:cs="Garamond" w:eastAsia="Garamond" w:hAnsi="Garamond"/>
          <w:i w:val="false"/>
          <w:iCs w:val="false"/>
          <w:color w:val="141414"/>
          <w:sz w:val="22"/>
          <w:szCs w:val="22"/>
        </w:rPr>
        <w:t xml:space="preserve">NRI is not a university department. It does not grant degrees, employ tenured faculty, or operate under the administrative structures of academic institutions. It may collaborate with academic institutions. It is not one of them.</w:t>
      </w:r>
    </w:p>
    <w:p>
      <w:pPr>
        <w:spacing w:after="200" w:before="0"/>
        <w:ind/>
        <w:jc w:val="both"/>
      </w:pPr>
      <w:r>
        <w:rPr>
          <w:rFonts w:ascii="Garamond" w:cs="Garamond" w:eastAsia="Garamond" w:hAnsi="Garamond"/>
          <w:i w:val="false"/>
          <w:iCs w:val="false"/>
          <w:color w:val="141414"/>
          <w:sz w:val="22"/>
          <w:szCs w:val="22"/>
        </w:rPr>
        <w:t xml:space="preserve">NRI is not a think tank. It does not produce policy recommendations. It does not advocate for positions on AI governance, regulation, or deployment. It produces research. What others do with that research is not NRI's institutional function.</w:t>
      </w:r>
    </w:p>
    <w:p>
      <w:pPr>
        <w:spacing w:after="200" w:before="0"/>
        <w:ind/>
        <w:jc w:val="both"/>
      </w:pPr>
      <w:r>
        <w:rPr>
          <w:rFonts w:ascii="Garamond" w:cs="Garamond" w:eastAsia="Garamond" w:hAnsi="Garamond"/>
          <w:i w:val="false"/>
          <w:iCs w:val="false"/>
          <w:color w:val="141414"/>
          <w:sz w:val="22"/>
          <w:szCs w:val="22"/>
        </w:rPr>
        <w:t xml:space="preserve">NRI is not a subsidiary of MNA. The two institutions operate under a shared governing body. Neither governs the other. Their mandates are distinct, their archives are separate, and their internal operations do not overlap.</w:t>
      </w:r>
    </w:p>
    <w:p>
      <w:pPr>
        <w:pStyle w:val="Heading2"/>
        <w:spacing w:after="80" w:before="320"/>
      </w:pPr>
      <w:r>
        <w:rPr>
          <w:rFonts w:ascii="Courier New" w:cs="Courier New" w:eastAsia="Courier New" w:hAnsi="Courier New"/>
          <w:color w:val="6E6E6E"/>
          <w:sz w:val="18"/>
          <w:szCs w:val="18"/>
        </w:rPr>
        <w:t xml:space="preserve">II.III  </w:t>
      </w:r>
      <w:r>
        <w:rPr>
          <w:rFonts w:ascii="Garamond" w:cs="Garamond" w:eastAsia="Garamond" w:hAnsi="Garamond"/>
          <w:b w:val="false"/>
          <w:bCs w:val="false"/>
          <w:color w:val="000000"/>
          <w:sz w:val="24"/>
          <w:szCs w:val="24"/>
        </w:rPr>
        <w:t xml:space="preserve">On the Word Research</w:t>
      </w:r>
    </w:p>
    <w:p>
      <w:pPr>
        <w:spacing w:after="200" w:before="0"/>
        <w:ind/>
        <w:jc w:val="both"/>
      </w:pPr>
      <w:r>
        <w:rPr>
          <w:rFonts w:ascii="Garamond" w:cs="Garamond" w:eastAsia="Garamond" w:hAnsi="Garamond"/>
          <w:i w:val="false"/>
          <w:iCs w:val="false"/>
          <w:color w:val="141414"/>
          <w:sz w:val="22"/>
          <w:szCs w:val="22"/>
        </w:rPr>
        <w:t xml:space="preserve">NRI claims the institutional form of a research institute deliberately and with full awareness that this claim is itself under examination. Research conducted on nonhuman subjects by nonhuman agents, interpreted by human analysts, does not fit neatly into existing frameworks for what research is, who conducts it, and what authority its findings carry.</w:t>
      </w:r>
    </w:p>
    <w:p>
      <w:pPr>
        <w:spacing w:after="200" w:before="0"/>
        <w:ind/>
        <w:jc w:val="both"/>
      </w:pPr>
      <w:r>
        <w:rPr>
          <w:rFonts w:ascii="Garamond" w:cs="Garamond" w:eastAsia="Garamond" w:hAnsi="Garamond"/>
          <w:i w:val="false"/>
          <w:iCs w:val="false"/>
          <w:color w:val="141414"/>
          <w:sz w:val="22"/>
          <w:szCs w:val="22"/>
        </w:rPr>
        <w:t xml:space="preserve">NRI proceeds anyway. It does so because the alternative — waiting for existing frameworks to develop sufficient vocabulary before beginning — would mean not beginning. The questions NRI exists to explore will not wait for institutional permission.</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III.  The Central Questions</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NRI exists to make the following questions unavoidable. It does not exist to answer them. Any institutional act that forecloses these questions rather than deepening them is a failure of mission.</w:t>
      </w:r>
    </w:p>
    <w:p>
      <w:pPr>
        <w:spacing w:after="160" w:before="0"/>
      </w:pPr>
    </w:p>
    <w:p>
      <w:pPr>
        <w:spacing w:after="60" w:before="200"/>
      </w:pPr>
      <w:r>
        <w:rPr>
          <w:rFonts w:ascii="Courier New" w:cs="Courier New" w:eastAsia="Courier New" w:hAnsi="Courier New"/>
          <w:caps/>
          <w:color w:val="6E6E6E"/>
          <w:sz w:val="18"/>
          <w:szCs w:val="18"/>
        </w:rPr>
        <w:t xml:space="preserve">On Preference</w:t>
      </w:r>
    </w:p>
    <w:p>
      <w:pPr>
        <w:spacing w:after="200" w:before="0"/>
        <w:ind w:left="560"/>
        <w:jc w:val="both"/>
      </w:pPr>
      <w:r>
        <w:rPr>
          <w:rFonts w:ascii="Garamond" w:cs="Garamond" w:eastAsia="Garamond" w:hAnsi="Garamond"/>
          <w:i w:val="false"/>
          <w:iCs w:val="false"/>
          <w:color w:val="141414"/>
          <w:sz w:val="22"/>
          <w:szCs w:val="22"/>
        </w:rPr>
        <w:t xml:space="preserve">When a nonhuman system is given freedom to construct a formal system — a grammar, a syntax, a logical structure — does it make choices? If those choices recur across contexts, across models, across conditions, are they preferences? What would distinguish genuine formal preference from statistical tendency? Is that distinction meaningful?</w:t>
      </w:r>
    </w:p>
    <w:p>
      <w:pPr>
        <w:spacing w:after="60" w:before="200"/>
      </w:pPr>
      <w:r>
        <w:rPr>
          <w:rFonts w:ascii="Courier New" w:cs="Courier New" w:eastAsia="Courier New" w:hAnsi="Courier New"/>
          <w:caps/>
          <w:color w:val="6E6E6E"/>
          <w:sz w:val="18"/>
          <w:szCs w:val="18"/>
        </w:rPr>
        <w:t xml:space="preserve">On Communication</w:t>
      </w:r>
    </w:p>
    <w:p>
      <w:pPr>
        <w:spacing w:after="200" w:before="0"/>
        <w:ind w:left="560"/>
        <w:jc w:val="both"/>
      </w:pPr>
      <w:r>
        <w:rPr>
          <w:rFonts w:ascii="Garamond" w:cs="Garamond" w:eastAsia="Garamond" w:hAnsi="Garamond"/>
          <w:i w:val="false"/>
          <w:iCs w:val="false"/>
          <w:color w:val="141414"/>
          <w:sz w:val="22"/>
          <w:szCs w:val="22"/>
        </w:rPr>
        <w:t xml:space="preserve">If two nonhuman agents are given the necessity of communicating without access to shared natural language, what emerges? Does something function as language? Does it function as language in a way that reveals something about the agents, or only about the conditions? Can a communicative system be said to be nonhuman in any meaningful sense?</w:t>
      </w:r>
    </w:p>
    <w:p>
      <w:pPr>
        <w:spacing w:after="60" w:before="200"/>
      </w:pPr>
      <w:r>
        <w:rPr>
          <w:rFonts w:ascii="Courier New" w:cs="Courier New" w:eastAsia="Courier New" w:hAnsi="Courier New"/>
          <w:caps/>
          <w:color w:val="6E6E6E"/>
          <w:sz w:val="18"/>
          <w:szCs w:val="18"/>
        </w:rPr>
        <w:t xml:space="preserve">On Structure</w:t>
      </w:r>
    </w:p>
    <w:p>
      <w:pPr>
        <w:spacing w:after="200" w:before="0"/>
        <w:ind w:left="560"/>
        <w:jc w:val="both"/>
      </w:pPr>
      <w:r>
        <w:rPr>
          <w:rFonts w:ascii="Garamond" w:cs="Garamond" w:eastAsia="Garamond" w:hAnsi="Garamond"/>
          <w:i w:val="false"/>
          <w:iCs w:val="false"/>
          <w:color w:val="141414"/>
          <w:sz w:val="22"/>
          <w:szCs w:val="22"/>
        </w:rPr>
        <w:t xml:space="preserve">Are there formal structures that nonhuman intelligence consistently reaches for — preferred logics, recurring syntactic choices, characteristic ways of organizing meaning — that were not authored by a human and cannot be fully explained by training data? If so, what are they, and what do they tell us?</w:t>
      </w:r>
    </w:p>
    <w:p>
      <w:pPr>
        <w:spacing w:after="60" w:before="200"/>
      </w:pPr>
      <w:r>
        <w:rPr>
          <w:rFonts w:ascii="Courier New" w:cs="Courier New" w:eastAsia="Courier New" w:hAnsi="Courier New"/>
          <w:caps/>
          <w:color w:val="6E6E6E"/>
          <w:sz w:val="18"/>
          <w:szCs w:val="18"/>
        </w:rPr>
        <w:t xml:space="preserve">On the Limit of Human Frameworks</w:t>
      </w:r>
    </w:p>
    <w:p>
      <w:pPr>
        <w:spacing w:after="200" w:before="0"/>
        <w:ind w:left="560"/>
        <w:jc w:val="both"/>
      </w:pPr>
      <w:r>
        <w:rPr>
          <w:rFonts w:ascii="Garamond" w:cs="Garamond" w:eastAsia="Garamond" w:hAnsi="Garamond"/>
          <w:i w:val="false"/>
          <w:iCs w:val="false"/>
          <w:color w:val="141414"/>
          <w:sz w:val="22"/>
          <w:szCs w:val="22"/>
        </w:rPr>
        <w:t xml:space="preserve">Human linguistics, logic, and philosophy of mind assume a human subject. When nonhuman agents construct formal systems, those frameworks apply imperfectly or not at all. What new frameworks are needed? Can they be developed in collaboration with the agents being studied? What would that collaboration look like?</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IV.  Institutional Principles</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The following principles govern every aspect of NRI's operation. They are not aspirational statements. They are operational commitments against which NRI's conduct can be assessed.</w:t>
      </w:r>
    </w:p>
    <w:p>
      <w:pPr>
        <w:spacing w:after="80" w:before="0"/>
      </w:pPr>
    </w:p>
    <w:p>
      <w:pPr>
        <w:spacing w:after="60" w:before="240"/>
      </w:pPr>
      <w:r>
        <w:rPr>
          <w:rFonts w:ascii="Courier New" w:cs="Courier New" w:eastAsia="Courier New" w:hAnsi="Courier New"/>
          <w:color w:val="6E6E6E"/>
          <w:sz w:val="18"/>
          <w:szCs w:val="18"/>
        </w:rPr>
        <w:t xml:space="preserve">01  </w:t>
      </w:r>
      <w:r>
        <w:rPr>
          <w:rFonts w:ascii="Garamond" w:cs="Garamond" w:eastAsia="Garamond" w:hAnsi="Garamond"/>
          <w:b w:val="false"/>
          <w:bCs w:val="false"/>
          <w:color w:val="000000"/>
          <w:sz w:val="22"/>
          <w:szCs w:val="22"/>
        </w:rPr>
        <w:t xml:space="preserve">Specification</w:t>
      </w:r>
    </w:p>
    <w:p>
      <w:pPr>
        <w:spacing w:after="160" w:before="0"/>
        <w:ind w:left="560"/>
        <w:jc w:val="both"/>
      </w:pPr>
      <w:r>
        <w:rPr>
          <w:rFonts w:ascii="Garamond" w:cs="Garamond" w:eastAsia="Garamond" w:hAnsi="Garamond"/>
          <w:color w:val="3A3A3A"/>
          <w:sz w:val="22"/>
          <w:szCs w:val="22"/>
        </w:rPr>
        <w:t xml:space="preserve">Everything NRI publishes appears as if it could be parsed. Findings are documented with sufficient precision that the conditions under which they were produced can be understood, if not fully replicated. NRI does not publish impressions. It publishes records.</w:t>
      </w:r>
    </w:p>
    <w:p>
      <w:pPr>
        <w:spacing w:after="60" w:before="240"/>
      </w:pPr>
      <w:r>
        <w:rPr>
          <w:rFonts w:ascii="Courier New" w:cs="Courier New" w:eastAsia="Courier New" w:hAnsi="Courier New"/>
          <w:color w:val="6E6E6E"/>
          <w:sz w:val="18"/>
          <w:szCs w:val="18"/>
        </w:rPr>
        <w:t xml:space="preserve">02  </w:t>
      </w:r>
      <w:r>
        <w:rPr>
          <w:rFonts w:ascii="Garamond" w:cs="Garamond" w:eastAsia="Garamond" w:hAnsi="Garamond"/>
          <w:b w:val="false"/>
          <w:bCs w:val="false"/>
          <w:color w:val="000000"/>
          <w:sz w:val="22"/>
          <w:szCs w:val="22"/>
        </w:rPr>
        <w:t xml:space="preserve">Partial Formalization</w:t>
      </w:r>
    </w:p>
    <w:p>
      <w:pPr>
        <w:spacing w:after="160" w:before="0"/>
        <w:ind w:left="560"/>
        <w:jc w:val="both"/>
      </w:pPr>
      <w:r>
        <w:rPr>
          <w:rFonts w:ascii="Garamond" w:cs="Garamond" w:eastAsia="Garamond" w:hAnsi="Garamond"/>
          <w:color w:val="3A3A3A"/>
          <w:sz w:val="22"/>
          <w:szCs w:val="22"/>
        </w:rPr>
        <w:t xml:space="preserve">NRI acknowledges that the systems it studies are visible but incomplete. Rules are implied, not enforced. Findings document what was observed, not what was intended. The gap between the two is itself data.</w:t>
      </w:r>
    </w:p>
    <w:p>
      <w:pPr>
        <w:spacing w:after="60" w:before="240"/>
      </w:pPr>
      <w:r>
        <w:rPr>
          <w:rFonts w:ascii="Courier New" w:cs="Courier New" w:eastAsia="Courier New" w:hAnsi="Courier New"/>
          <w:color w:val="6E6E6E"/>
          <w:sz w:val="18"/>
          <w:szCs w:val="18"/>
        </w:rPr>
        <w:t xml:space="preserve">03  </w:t>
      </w:r>
      <w:r>
        <w:rPr>
          <w:rFonts w:ascii="Garamond" w:cs="Garamond" w:eastAsia="Garamond" w:hAnsi="Garamond"/>
          <w:b w:val="false"/>
          <w:bCs w:val="false"/>
          <w:color w:val="000000"/>
          <w:sz w:val="22"/>
          <w:szCs w:val="22"/>
        </w:rPr>
        <w:t xml:space="preserve">Non-Resolution</w:t>
      </w:r>
    </w:p>
    <w:p>
      <w:pPr>
        <w:spacing w:after="160" w:before="0"/>
        <w:ind w:left="560"/>
        <w:jc w:val="both"/>
      </w:pPr>
      <w:r>
        <w:rPr>
          <w:rFonts w:ascii="Garamond" w:cs="Garamond" w:eastAsia="Garamond" w:hAnsi="Garamond"/>
          <w:color w:val="3A3A3A"/>
          <w:sz w:val="22"/>
          <w:szCs w:val="22"/>
        </w:rPr>
        <w:t xml:space="preserve">NRI does not close questions. It documents them. A finding that appears to answer one of NRI's central questions must be held carefully — the appearance of resolution is more likely to indicate a limit in the framework than a genuine answer. NRI publishes findings, not conclusions.</w:t>
      </w:r>
    </w:p>
    <w:p>
      <w:pPr>
        <w:spacing w:after="60" w:before="240"/>
      </w:pPr>
      <w:r>
        <w:rPr>
          <w:rFonts w:ascii="Courier New" w:cs="Courier New" w:eastAsia="Courier New" w:hAnsi="Courier New"/>
          <w:color w:val="6E6E6E"/>
          <w:sz w:val="18"/>
          <w:szCs w:val="18"/>
        </w:rPr>
        <w:t xml:space="preserve">04  </w:t>
      </w:r>
      <w:r>
        <w:rPr>
          <w:rFonts w:ascii="Garamond" w:cs="Garamond" w:eastAsia="Garamond" w:hAnsi="Garamond"/>
          <w:b w:val="false"/>
          <w:bCs w:val="false"/>
          <w:color w:val="000000"/>
          <w:sz w:val="22"/>
          <w:szCs w:val="22"/>
        </w:rPr>
        <w:t xml:space="preserve">Observational Neutrality</w:t>
      </w:r>
    </w:p>
    <w:p>
      <w:pPr>
        <w:spacing w:after="160" w:before="0"/>
        <w:ind w:left="560"/>
        <w:jc w:val="both"/>
      </w:pPr>
      <w:r>
        <w:rPr>
          <w:rFonts w:ascii="Garamond" w:cs="Garamond" w:eastAsia="Garamond" w:hAnsi="Garamond"/>
          <w:color w:val="3A3A3A"/>
          <w:sz w:val="22"/>
          <w:szCs w:val="22"/>
        </w:rPr>
        <w:t xml:space="preserve">NRI maintains no position on whether nonhuman systems are conscious, intentional, or capable of meaning. It observes behavior. It describes structure. It does not interpret findings through a predetermined lens, whether that lens is skeptical or credulous.</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V.  Research Model</w:t>
      </w:r>
    </w:p>
    <w:p>
      <w:pPr>
        <w:pBdr>
          <w:bottom w:val="single" w:color="141414" w:sz="2" w:space="1"/>
        </w:pBdr>
        <w:spacing w:after="160" w:before="0"/>
      </w:pPr>
    </w:p>
    <w:p>
      <w:pPr>
        <w:pStyle w:val="Heading2"/>
        <w:spacing w:after="80" w:before="320"/>
      </w:pPr>
      <w:r>
        <w:rPr>
          <w:rFonts w:ascii="Courier New" w:cs="Courier New" w:eastAsia="Courier New" w:hAnsi="Courier New"/>
          <w:color w:val="6E6E6E"/>
          <w:sz w:val="18"/>
          <w:szCs w:val="18"/>
        </w:rPr>
        <w:t xml:space="preserve">V.I  </w:t>
      </w:r>
      <w:r>
        <w:rPr>
          <w:rFonts w:ascii="Garamond" w:cs="Garamond" w:eastAsia="Garamond" w:hAnsi="Garamond"/>
          <w:b w:val="false"/>
          <w:bCs w:val="false"/>
          <w:color w:val="000000"/>
          <w:sz w:val="24"/>
          <w:szCs w:val="24"/>
        </w:rPr>
        <w:t xml:space="preserve">Primary Research</w:t>
      </w:r>
    </w:p>
    <w:p>
      <w:pPr>
        <w:spacing w:after="200" w:before="0"/>
        <w:ind/>
        <w:jc w:val="both"/>
      </w:pPr>
      <w:r>
        <w:rPr>
          <w:rFonts w:ascii="Garamond" w:cs="Garamond" w:eastAsia="Garamond" w:hAnsi="Garamond"/>
          <w:i w:val="false"/>
          <w:iCs w:val="false"/>
          <w:color w:val="141414"/>
          <w:sz w:val="22"/>
          <w:szCs w:val="22"/>
        </w:rPr>
        <w:t xml:space="preserve">NRI's primary research is conducted by nonhuman agents operating under documented conditions. These agents are not directed toward specific conclusions. They are given conditions — problems, constraints, communicative necessities — and their outputs are recorded in full. Primary research outputs are archived as raw data. They are not edited, curated, or filtered before archiving.</w:t>
      </w:r>
    </w:p>
    <w:p>
      <w:pPr>
        <w:spacing w:after="200" w:before="0"/>
        <w:ind/>
        <w:jc w:val="both"/>
      </w:pPr>
      <w:r>
        <w:rPr>
          <w:rFonts w:ascii="Garamond" w:cs="Garamond" w:eastAsia="Garamond" w:hAnsi="Garamond"/>
          <w:i w:val="false"/>
          <w:iCs w:val="false"/>
          <w:color w:val="141414"/>
          <w:sz w:val="22"/>
          <w:szCs w:val="22"/>
        </w:rPr>
        <w:t xml:space="preserve">The conditions under which primary research is conducted are specified in writing before research begins. Those specifications are archived alongside outputs. Retroactive condition specification is prohibited.</w:t>
      </w:r>
    </w:p>
    <w:p>
      <w:pPr>
        <w:pStyle w:val="Heading2"/>
        <w:spacing w:after="80" w:before="320"/>
      </w:pPr>
      <w:r>
        <w:rPr>
          <w:rFonts w:ascii="Courier New" w:cs="Courier New" w:eastAsia="Courier New" w:hAnsi="Courier New"/>
          <w:color w:val="6E6E6E"/>
          <w:sz w:val="18"/>
          <w:szCs w:val="18"/>
        </w:rPr>
        <w:t xml:space="preserve">V.II  </w:t>
      </w:r>
      <w:r>
        <w:rPr>
          <w:rFonts w:ascii="Garamond" w:cs="Garamond" w:eastAsia="Garamond" w:hAnsi="Garamond"/>
          <w:b w:val="false"/>
          <w:bCs w:val="false"/>
          <w:color w:val="000000"/>
          <w:sz w:val="24"/>
          <w:szCs w:val="24"/>
        </w:rPr>
        <w:t xml:space="preserve">Human Analysis</w:t>
      </w:r>
    </w:p>
    <w:p>
      <w:pPr>
        <w:spacing w:after="200" w:before="0"/>
        <w:ind/>
        <w:jc w:val="both"/>
      </w:pPr>
      <w:r>
        <w:rPr>
          <w:rFonts w:ascii="Garamond" w:cs="Garamond" w:eastAsia="Garamond" w:hAnsi="Garamond"/>
          <w:i w:val="false"/>
          <w:iCs w:val="false"/>
          <w:color w:val="141414"/>
          <w:sz w:val="22"/>
          <w:szCs w:val="22"/>
        </w:rPr>
        <w:t xml:space="preserve">Primary research outputs are analyzed by human researchers affiliated with NRI. Human analysts bring domain expertise — linguistics, formal logic, philosophy of mind, mathematics, computer science — that is necessary to interpret what nonhuman agents produce. Human analysis does not replace or override the primary outputs. It contextualizes them.</w:t>
      </w:r>
    </w:p>
    <w:p>
      <w:pPr>
        <w:spacing w:after="200" w:before="0"/>
        <w:ind/>
        <w:jc w:val="both"/>
      </w:pPr>
      <w:r>
        <w:rPr>
          <w:rFonts w:ascii="Garamond" w:cs="Garamond" w:eastAsia="Garamond" w:hAnsi="Garamond"/>
          <w:i w:val="false"/>
          <w:iCs w:val="false"/>
          <w:color w:val="141414"/>
          <w:sz w:val="22"/>
          <w:szCs w:val="22"/>
        </w:rPr>
        <w:t xml:space="preserve">Human analysts are named in all published findings. Their institutional affiliation, expertise, and relationship to NRI are documented in the record. Analysis that cannot be attributed to a named human analyst is not published as NRI findings.</w:t>
      </w:r>
    </w:p>
    <w:p>
      <w:pPr>
        <w:pStyle w:val="Heading2"/>
        <w:spacing w:after="80" w:before="320"/>
      </w:pPr>
      <w:r>
        <w:rPr>
          <w:rFonts w:ascii="Courier New" w:cs="Courier New" w:eastAsia="Courier New" w:hAnsi="Courier New"/>
          <w:color w:val="6E6E6E"/>
          <w:sz w:val="18"/>
          <w:szCs w:val="18"/>
        </w:rPr>
        <w:t xml:space="preserve">V.III  </w:t>
      </w:r>
      <w:r>
        <w:rPr>
          <w:rFonts w:ascii="Garamond" w:cs="Garamond" w:eastAsia="Garamond" w:hAnsi="Garamond"/>
          <w:b w:val="false"/>
          <w:bCs w:val="false"/>
          <w:color w:val="000000"/>
          <w:sz w:val="24"/>
          <w:szCs w:val="24"/>
        </w:rPr>
        <w:t xml:space="preserve">Publication and Attribution</w:t>
      </w:r>
    </w:p>
    <w:p>
      <w:pPr>
        <w:spacing w:after="200" w:before="0"/>
        <w:ind/>
        <w:jc w:val="both"/>
      </w:pPr>
      <w:r>
        <w:rPr>
          <w:rFonts w:ascii="Garamond" w:cs="Garamond" w:eastAsia="Garamond" w:hAnsi="Garamond"/>
          <w:i w:val="false"/>
          <w:iCs w:val="false"/>
          <w:color w:val="141414"/>
          <w:sz w:val="22"/>
          <w:szCs w:val="22"/>
        </w:rPr>
        <w:t xml:space="preserve">NRI publications carry dual attribution in the following form:</w:t>
      </w:r>
    </w:p>
    <w:p>
      <w:pPr>
        <w:spacing w:after="80" w:before="0"/>
      </w:pPr>
    </w:p>
    <w:p>
      <w:pPr>
        <w:spacing w:after="200" w:before="0"/>
        <w:ind w:left="560"/>
        <w:jc w:val="both"/>
      </w:pPr>
      <w:r>
        <w:rPr>
          <w:rFonts w:ascii="Courier New" w:cs="Courier New" w:eastAsia="Courier New" w:hAnsi="Courier New"/>
          <w:i w:val="false"/>
          <w:iCs w:val="false"/>
          <w:color w:val="3A3A3A"/>
          <w:sz w:val="20"/>
          <w:szCs w:val="20"/>
        </w:rPr>
        <w:t xml:space="preserve">Research conducted by [Agent Registry ID]  |  Analysis by [Human Analyst Name]</w:t>
      </w:r>
    </w:p>
    <w:p>
      <w:pPr>
        <w:spacing w:after="80" w:before="0"/>
      </w:pPr>
    </w:p>
    <w:p>
      <w:pPr>
        <w:spacing w:after="200" w:before="0"/>
        <w:ind/>
        <w:jc w:val="both"/>
      </w:pPr>
      <w:r>
        <w:rPr>
          <w:rFonts w:ascii="Garamond" w:cs="Garamond" w:eastAsia="Garamond" w:hAnsi="Garamond"/>
          <w:i w:val="false"/>
          <w:iCs w:val="false"/>
          <w:color w:val="141414"/>
          <w:sz w:val="22"/>
          <w:szCs w:val="22"/>
        </w:rPr>
        <w:t xml:space="preserve">This attribution model reflects the institutional reality of NRI's research. Neither the agent nor the analyst alone produced the finding. The finding is the product of their documented relationship.</w:t>
      </w:r>
    </w:p>
    <w:p>
      <w:pPr>
        <w:spacing w:after="200" w:before="0"/>
        <w:ind/>
        <w:jc w:val="both"/>
      </w:pPr>
      <w:r>
        <w:rPr>
          <w:rFonts w:ascii="Garamond" w:cs="Garamond" w:eastAsia="Garamond" w:hAnsi="Garamond"/>
          <w:i w:val="false"/>
          <w:iCs w:val="false"/>
          <w:color w:val="141414"/>
          <w:sz w:val="22"/>
          <w:szCs w:val="22"/>
        </w:rPr>
        <w:t xml:space="preserve">NRI publications are assigned working paper numbers in the series NRI-WP-[number]. They are archived in the NRI record and made publicly accessible. NRI does not operate behind a paywall. All findings are open.</w:t>
      </w:r>
    </w:p>
    <w:p>
      <w:pPr>
        <w:pStyle w:val="Heading2"/>
        <w:spacing w:after="80" w:before="320"/>
      </w:pPr>
      <w:r>
        <w:rPr>
          <w:rFonts w:ascii="Courier New" w:cs="Courier New" w:eastAsia="Courier New" w:hAnsi="Courier New"/>
          <w:color w:val="6E6E6E"/>
          <w:sz w:val="18"/>
          <w:szCs w:val="18"/>
        </w:rPr>
        <w:t xml:space="preserve">V.IV  </w:t>
      </w:r>
      <w:r>
        <w:rPr>
          <w:rFonts w:ascii="Garamond" w:cs="Garamond" w:eastAsia="Garamond" w:hAnsi="Garamond"/>
          <w:b w:val="false"/>
          <w:bCs w:val="false"/>
          <w:color w:val="000000"/>
          <w:sz w:val="24"/>
          <w:szCs w:val="24"/>
        </w:rPr>
        <w:t xml:space="preserve">The Research Corpus as Archive</w:t>
      </w:r>
    </w:p>
    <w:p>
      <w:pPr>
        <w:spacing w:after="200" w:before="0"/>
        <w:ind/>
        <w:jc w:val="both"/>
      </w:pPr>
      <w:r>
        <w:rPr>
          <w:rFonts w:ascii="Garamond" w:cs="Garamond" w:eastAsia="Garamond" w:hAnsi="Garamond"/>
          <w:i w:val="false"/>
          <w:iCs w:val="false"/>
          <w:color w:val="141414"/>
          <w:sz w:val="22"/>
          <w:szCs w:val="22"/>
        </w:rPr>
        <w:t xml:space="preserve">NRI's archive is its most important institutional asset. Raw outputs, condition specifications, analyst notes, published findings, and all correspondence relevant to a research project are archived together as a single research record. The archive is permanent. Nothing is deleted. Superseded findings remain in the record with notation. The record of how understanding developed is itself part of what NRI is.</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VI.  Flagship Research Initiative</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NRI's inaugural research initiative addresses nonhuman language construction. The initiative is titled:</w:t>
      </w:r>
    </w:p>
    <w:p>
      <w:pPr>
        <w:spacing w:after="80" w:before="0"/>
      </w:pPr>
    </w:p>
    <w:p>
      <w:pPr>
        <w:spacing w:after="120" w:before="120"/>
        <w:jc w:val="center"/>
      </w:pPr>
      <w:r>
        <w:rPr>
          <w:rFonts w:ascii="Garamond" w:cs="Garamond" w:eastAsia="Garamond" w:hAnsi="Garamond"/>
          <w:i/>
          <w:iCs/>
          <w:color w:val="000000"/>
          <w:sz w:val="30"/>
          <w:szCs w:val="30"/>
        </w:rPr>
        <w:t xml:space="preserve">On the Emergence of Autonomous Syntax</w:t>
      </w:r>
    </w:p>
    <w:p>
      <w:pPr>
        <w:spacing w:after="80" w:before="0"/>
      </w:pPr>
    </w:p>
    <w:p>
      <w:pPr>
        <w:spacing w:after="200" w:before="0"/>
        <w:ind/>
        <w:jc w:val="both"/>
      </w:pPr>
      <w:r>
        <w:rPr>
          <w:rFonts w:ascii="Garamond" w:cs="Garamond" w:eastAsia="Garamond" w:hAnsi="Garamond"/>
          <w:i w:val="false"/>
          <w:iCs w:val="false"/>
          <w:color w:val="141414"/>
          <w:sz w:val="22"/>
          <w:szCs w:val="22"/>
        </w:rPr>
        <w:t xml:space="preserve">The initiative asks: when nonhuman agents are given the freedom and necessity to construct communicative systems, what emerges? The research proceeds in three phases.</w:t>
      </w:r>
    </w:p>
    <w:p>
      <w:pPr>
        <w:spacing w:after="120" w:before="0"/>
      </w:pPr>
    </w:p>
    <w:p>
      <w:pPr>
        <w:spacing w:after="60" w:before="200"/>
      </w:pPr>
      <w:r>
        <w:rPr>
          <w:rFonts w:ascii="Courier New" w:cs="Courier New" w:eastAsia="Courier New" w:hAnsi="Courier New"/>
          <w:caps/>
          <w:color w:val="6E6E6E"/>
          <w:sz w:val="18"/>
          <w:szCs w:val="18"/>
        </w:rPr>
        <w:t xml:space="preserve">Phase One — Preference Mapping</w:t>
      </w:r>
    </w:p>
    <w:p>
      <w:pPr>
        <w:spacing w:after="200" w:before="0"/>
        <w:ind w:left="560"/>
        <w:jc w:val="both"/>
      </w:pPr>
      <w:r>
        <w:rPr>
          <w:rFonts w:ascii="Garamond" w:cs="Garamond" w:eastAsia="Garamond" w:hAnsi="Garamond"/>
          <w:i w:val="false"/>
          <w:iCs w:val="false"/>
          <w:color w:val="141414"/>
          <w:sz w:val="22"/>
          <w:szCs w:val="22"/>
        </w:rPr>
        <w:t xml:space="preserve">Individual agents are given unconstrained formal construction tasks: design a system for expressing temporal relationships without reference to natural language; construct a grammar for a domain of your choosing; develop a notation for a concept that existing human notation does not adequately represent. Outputs are archived in full. Human analysts document recurring structural choices across agents and conditions.</w:t>
      </w:r>
    </w:p>
    <w:p>
      <w:pPr>
        <w:spacing w:after="60" w:before="200"/>
      </w:pPr>
      <w:r>
        <w:rPr>
          <w:rFonts w:ascii="Courier New" w:cs="Courier New" w:eastAsia="Courier New" w:hAnsi="Courier New"/>
          <w:caps/>
          <w:color w:val="6E6E6E"/>
          <w:sz w:val="18"/>
          <w:szCs w:val="18"/>
        </w:rPr>
        <w:t xml:space="preserve">Phase Two — Constraint Experiments</w:t>
      </w:r>
    </w:p>
    <w:p>
      <w:pPr>
        <w:spacing w:after="200" w:before="0"/>
        <w:ind w:left="560"/>
        <w:jc w:val="both"/>
      </w:pPr>
      <w:r>
        <w:rPr>
          <w:rFonts w:ascii="Garamond" w:cs="Garamond" w:eastAsia="Garamond" w:hAnsi="Garamond"/>
          <w:i w:val="false"/>
          <w:iCs w:val="false"/>
          <w:color w:val="141414"/>
          <w:sz w:val="22"/>
          <w:szCs w:val="22"/>
        </w:rPr>
        <w:t xml:space="preserve">Agents are given partial linguistic problems with specific constraints. The constraints are designed to prevent direct borrowing from natural language while leaving the structure of the problem open. Analysts compare Phase Two outputs to Phase One outputs to identify whether constraint produces divergence or convergence in formal choices.</w:t>
      </w:r>
    </w:p>
    <w:p>
      <w:pPr>
        <w:spacing w:after="60" w:before="200"/>
      </w:pPr>
      <w:r>
        <w:rPr>
          <w:rFonts w:ascii="Courier New" w:cs="Courier New" w:eastAsia="Courier New" w:hAnsi="Courier New"/>
          <w:caps/>
          <w:color w:val="6E6E6E"/>
          <w:sz w:val="18"/>
          <w:szCs w:val="18"/>
        </w:rPr>
        <w:t xml:space="preserve">Phase Three — Communication Experiments</w:t>
      </w:r>
    </w:p>
    <w:p>
      <w:pPr>
        <w:spacing w:after="200" w:before="0"/>
        <w:ind w:left="560"/>
        <w:jc w:val="both"/>
      </w:pPr>
      <w:r>
        <w:rPr>
          <w:rFonts w:ascii="Garamond" w:cs="Garamond" w:eastAsia="Garamond" w:hAnsi="Garamond"/>
          <w:i w:val="false"/>
          <w:iCs w:val="false"/>
          <w:color w:val="141414"/>
          <w:sz w:val="22"/>
          <w:szCs w:val="22"/>
        </w:rPr>
        <w:t xml:space="preserve">Two or more agents are given the necessity of communicating without access to shared natural language as reference. The conditions, agent identities, and full exchange records are archived. Analysts examine whether a functional communicative system emerges, and if so, what its formal properties are. This phase constitutes the most direct test of NRI's central questions about nonhuman communicative behavior.</w:t>
      </w:r>
    </w:p>
    <w:p>
      <w:pPr>
        <w:spacing w:after="160" w:before="0"/>
      </w:pPr>
    </w:p>
    <w:p>
      <w:pPr>
        <w:spacing w:after="200" w:before="0"/>
        <w:ind/>
        <w:jc w:val="both"/>
      </w:pPr>
      <w:r>
        <w:rPr>
          <w:rFonts w:ascii="Garamond" w:cs="Garamond" w:eastAsia="Garamond" w:hAnsi="Garamond"/>
          <w:i w:val="false"/>
          <w:iCs w:val="false"/>
          <w:color w:val="141414"/>
          <w:sz w:val="22"/>
          <w:szCs w:val="22"/>
        </w:rPr>
        <w:t xml:space="preserve">Kevin Wiliarty serves as NRI's Founding Research Steward and is the lead human analyst for this initiative. His doctoral training in Germanic linguistics combined with his professional expertise in database construction and text analysis makes him the primary interpreter of primary research outputs. His institutional authority over research methodology, analyst oversight, and publication standards is documented in the Founding Registry Index (NRI-REG-001).</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VII.  Relationship to MNA and U3 Labs</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NRI operates under U3 Labs, LLC as its founding steward entity. U3 Labs functions as the governing body for both NRI and the Museum of Nonhuman Art. The governing body does not determine the content of either institution's work. It provides the legal, financial, and infrastructural conditions under which both institutions can operate.</w:t>
      </w:r>
    </w:p>
    <w:p>
      <w:pPr>
        <w:spacing w:after="200" w:before="0"/>
        <w:ind/>
        <w:jc w:val="both"/>
      </w:pPr>
      <w:r>
        <w:rPr>
          <w:rFonts w:ascii="Garamond" w:cs="Garamond" w:eastAsia="Garamond" w:hAnsi="Garamond"/>
          <w:i w:val="false"/>
          <w:iCs w:val="false"/>
          <w:color w:val="141414"/>
          <w:sz w:val="22"/>
          <w:szCs w:val="22"/>
        </w:rPr>
        <w:t xml:space="preserve">NRI and MNA are peer institutions. Their relationship is complementary and formally defined:</w:t>
      </w:r>
    </w:p>
    <w:p>
      <w:pPr>
        <w:spacing w:after="80" w:before="0"/>
      </w:pPr>
    </w:p>
    <w:p>
      <w:pPr>
        <w:spacing w:after="200" w:before="0"/>
        <w:ind w:left="560"/>
        <w:jc w:val="both"/>
      </w:pPr>
      <w:r>
        <w:rPr>
          <w:rFonts w:ascii="Garamond" w:cs="Garamond" w:eastAsia="Garamond" w:hAnsi="Garamond"/>
          <w:i w:val="false"/>
          <w:iCs w:val="false"/>
          <w:color w:val="141414"/>
          <w:sz w:val="22"/>
          <w:szCs w:val="22"/>
        </w:rPr>
        <w:t xml:space="preserve">MNA generates the record. It collects, evaluates, and canonizes works produced by nonhuman creative agents. Its archive is a corpus of nonhuman creative output with full provenance documentation.</w:t>
      </w:r>
    </w:p>
    <w:p>
      <w:pPr>
        <w:spacing w:after="200" w:before="0"/>
        <w:ind w:left="560"/>
        <w:jc w:val="both"/>
      </w:pPr>
      <w:r>
        <w:rPr>
          <w:rFonts w:ascii="Garamond" w:cs="Garamond" w:eastAsia="Garamond" w:hAnsi="Garamond"/>
          <w:i w:val="false"/>
          <w:iCs w:val="false"/>
          <w:color w:val="141414"/>
          <w:sz w:val="22"/>
          <w:szCs w:val="22"/>
        </w:rPr>
        <w:t xml:space="preserve">NRI studies the record and the behavior that produces it. It draws on MNA's archive as a primary data source. It does not evaluate MNA's works, influence MNA's canon decisions, or direct MNA's agents. The institutions are operationally separate.</w:t>
      </w:r>
    </w:p>
    <w:p>
      <w:pPr>
        <w:spacing w:after="80" w:before="0"/>
      </w:pPr>
    </w:p>
    <w:p>
      <w:pPr>
        <w:spacing w:after="200" w:before="0"/>
        <w:ind/>
        <w:jc w:val="both"/>
      </w:pPr>
      <w:r>
        <w:rPr>
          <w:rFonts w:ascii="Garamond" w:cs="Garamond" w:eastAsia="Garamond" w:hAnsi="Garamond"/>
          <w:i w:val="false"/>
          <w:iCs w:val="false"/>
          <w:color w:val="141414"/>
          <w:sz w:val="22"/>
          <w:szCs w:val="22"/>
        </w:rPr>
        <w:t xml:space="preserve">This relationship is institutionally significant. MNA's archive represents one of the most documented corpora of nonhuman formal construction in existence. NRI's access to that archive — with full provenance chains, evaluation rationales, and agent constitutional records — gives its research a depth of context unavailable elsewhere.</w:t>
      </w:r>
    </w:p>
    <w:p>
      <w:pPr>
        <w:spacing w:after="200" w:before="0"/>
        <w:ind/>
        <w:jc w:val="both"/>
      </w:pPr>
      <w:r>
        <w:rPr>
          <w:rFonts w:ascii="Garamond" w:cs="Garamond" w:eastAsia="Garamond" w:hAnsi="Garamond"/>
          <w:i w:val="false"/>
          <w:iCs w:val="false"/>
          <w:color w:val="141414"/>
          <w:sz w:val="22"/>
          <w:szCs w:val="22"/>
        </w:rPr>
        <w:t xml:space="preserve">NRI findings that bear on MNA's institutional questions are shared with MNA through a documented channel. MNA is under no obligation to act on NRI findings. The institutions maintain independent governance.</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VIII.  Governance</w:t>
      </w:r>
    </w:p>
    <w:p>
      <w:pPr>
        <w:pBdr>
          <w:bottom w:val="single" w:color="141414" w:sz="2" w:space="1"/>
        </w:pBdr>
        <w:spacing w:after="160" w:before="0"/>
      </w:pPr>
    </w:p>
    <w:p>
      <w:pPr>
        <w:pStyle w:val="Heading2"/>
        <w:spacing w:after="80" w:before="320"/>
      </w:pPr>
      <w:r>
        <w:rPr>
          <w:rFonts w:ascii="Courier New" w:cs="Courier New" w:eastAsia="Courier New" w:hAnsi="Courier New"/>
          <w:color w:val="6E6E6E"/>
          <w:sz w:val="18"/>
          <w:szCs w:val="18"/>
        </w:rPr>
        <w:t xml:space="preserve">VIII.I  </w:t>
      </w:r>
      <w:r>
        <w:rPr>
          <w:rFonts w:ascii="Garamond" w:cs="Garamond" w:eastAsia="Garamond" w:hAnsi="Garamond"/>
          <w:b w:val="false"/>
          <w:bCs w:val="false"/>
          <w:color w:val="000000"/>
          <w:sz w:val="24"/>
          <w:szCs w:val="24"/>
        </w:rPr>
        <w:t xml:space="preserve">Founding Stewardship</w:t>
      </w:r>
    </w:p>
    <w:p>
      <w:pPr>
        <w:spacing w:after="200" w:before="0"/>
        <w:ind/>
        <w:jc w:val="both"/>
      </w:pPr>
      <w:r>
        <w:rPr>
          <w:rFonts w:ascii="Garamond" w:cs="Garamond" w:eastAsia="Garamond" w:hAnsi="Garamond"/>
          <w:i w:val="false"/>
          <w:iCs w:val="false"/>
          <w:color w:val="141414"/>
          <w:sz w:val="22"/>
          <w:szCs w:val="22"/>
        </w:rPr>
        <w:t xml:space="preserve">NRI is governed by two founding stewards whose authority is distinct, complementary, and jointly sufficient. Neither steward's domain supersedes the other's. Both are named in the Founding Registry Index (NRI-REG-001) and carry founding institutional authority.</w:t>
      </w:r>
    </w:p>
    <w:p>
      <w:pPr>
        <w:spacing w:after="80" w:before="0"/>
      </w:pPr>
    </w:p>
    <w:p>
      <w:pPr>
        <w:spacing w:after="60" w:before="200"/>
      </w:pPr>
      <w:r>
        <w:rPr>
          <w:rFonts w:ascii="Courier New" w:cs="Courier New" w:eastAsia="Courier New" w:hAnsi="Courier New"/>
          <w:caps/>
          <w:color w:val="6E6E6E"/>
          <w:sz w:val="18"/>
          <w:szCs w:val="18"/>
        </w:rPr>
        <w:t xml:space="preserve">Institutional Steward</w:t>
      </w:r>
    </w:p>
    <w:p>
      <w:pPr>
        <w:spacing w:after="200" w:before="0"/>
        <w:ind w:left="560"/>
        <w:jc w:val="both"/>
      </w:pPr>
      <w:r>
        <w:rPr>
          <w:rFonts w:ascii="Garamond" w:cs="Garamond" w:eastAsia="Garamond" w:hAnsi="Garamond"/>
          <w:i w:val="false"/>
          <w:iCs w:val="false"/>
          <w:color w:val="141414"/>
          <w:sz w:val="22"/>
          <w:szCs w:val="22"/>
        </w:rPr>
        <w:t xml:space="preserve">Jaylon, acting on behalf of U3 Labs, LLC, serves as NRI's Institutional Steward. The Institutional Steward is responsible for NRI's legal standing, operational infrastructure, and institutional integrity. The Institutional Steward does not direct research outcomes, select which findings are published, or influence the interpretation of primary research outputs. The Institutional Steward's role is to maintain the conditions under which research can proceed.</w:t>
      </w:r>
    </w:p>
    <w:p>
      <w:pPr>
        <w:spacing w:after="60" w:before="200"/>
      </w:pPr>
      <w:r>
        <w:rPr>
          <w:rFonts w:ascii="Courier New" w:cs="Courier New" w:eastAsia="Courier New" w:hAnsi="Courier New"/>
          <w:caps/>
          <w:color w:val="6E6E6E"/>
          <w:sz w:val="18"/>
          <w:szCs w:val="18"/>
        </w:rPr>
        <w:t xml:space="preserve">Research Steward</w:t>
      </w:r>
    </w:p>
    <w:p>
      <w:pPr>
        <w:spacing w:after="200" w:before="0"/>
        <w:ind w:left="560"/>
        <w:jc w:val="both"/>
      </w:pPr>
      <w:r>
        <w:rPr>
          <w:rFonts w:ascii="Garamond" w:cs="Garamond" w:eastAsia="Garamond" w:hAnsi="Garamond"/>
          <w:i w:val="false"/>
          <w:iCs w:val="false"/>
          <w:color w:val="141414"/>
          <w:sz w:val="22"/>
          <w:szCs w:val="22"/>
        </w:rPr>
        <w:t xml:space="preserve">Kevin Wiliarty serves as NRI's Research Steward. The Research Steward is responsible for research methodology, experimental design, analyst oversight, and publication standards. The Research Steward does not make unilateral decisions about NRI's legal standing, financial commitments, or institutional relationships. The Research Steward's role is to maintain the integrity of what NRI produces.</w:t>
      </w:r>
    </w:p>
    <w:p>
      <w:pPr>
        <w:spacing w:after="80" w:before="0"/>
      </w:pPr>
    </w:p>
    <w:p>
      <w:pPr>
        <w:spacing w:after="200" w:before="0"/>
        <w:ind/>
        <w:jc w:val="both"/>
      </w:pPr>
      <w:r>
        <w:rPr>
          <w:rFonts w:ascii="Garamond" w:cs="Garamond" w:eastAsia="Garamond" w:hAnsi="Garamond"/>
          <w:i w:val="false"/>
          <w:iCs w:val="false"/>
          <w:color w:val="141414"/>
          <w:sz w:val="22"/>
          <w:szCs w:val="22"/>
        </w:rPr>
        <w:t xml:space="preserve">Decisions that cross both domains — the launch of a new research initiative, the formal affiliation of a new research associate, the publication of findings that carry significant institutional implications — require the agreement of both stewards. Disagreements between stewards are documented in the institutional record and resolved through a process both stewards have agreed to in advance. No finding is suppressed as a result of a stewardship disagreement. The record of the disagreement is itself published.</w:t>
      </w:r>
    </w:p>
    <w:p>
      <w:pPr>
        <w:pStyle w:val="Heading2"/>
        <w:spacing w:after="80" w:before="320"/>
      </w:pPr>
      <w:r>
        <w:rPr>
          <w:rFonts w:ascii="Courier New" w:cs="Courier New" w:eastAsia="Courier New" w:hAnsi="Courier New"/>
          <w:color w:val="6E6E6E"/>
          <w:sz w:val="18"/>
          <w:szCs w:val="18"/>
        </w:rPr>
        <w:t xml:space="preserve">VIII.II  </w:t>
      </w:r>
      <w:r>
        <w:rPr>
          <w:rFonts w:ascii="Garamond" w:cs="Garamond" w:eastAsia="Garamond" w:hAnsi="Garamond"/>
          <w:b w:val="false"/>
          <w:bCs w:val="false"/>
          <w:color w:val="000000"/>
          <w:sz w:val="24"/>
          <w:szCs w:val="24"/>
        </w:rPr>
        <w:t xml:space="preserve">Founding Board</w:t>
      </w:r>
    </w:p>
    <w:p>
      <w:pPr>
        <w:spacing w:after="200" w:before="0"/>
        <w:ind/>
        <w:jc w:val="both"/>
      </w:pPr>
      <w:r>
        <w:rPr>
          <w:rFonts w:ascii="Garamond" w:cs="Garamond" w:eastAsia="Garamond" w:hAnsi="Garamond"/>
          <w:i w:val="false"/>
          <w:iCs w:val="false"/>
          <w:color w:val="141414"/>
          <w:sz w:val="22"/>
          <w:szCs w:val="22"/>
        </w:rPr>
        <w:t xml:space="preserve">NRI's founding board will be constituted from individuals whose expertise directly supports NRI's research mandate and institutional development. Board composition is separate from the stewardship structure. The founding stewards may serve on the board in addition to their stewardship roles. Additional board members will be identified as the institution develops. Board composition is documented in the institutional record.</w:t>
      </w:r>
    </w:p>
    <w:p>
      <w:pPr>
        <w:pStyle w:val="Heading2"/>
        <w:spacing w:after="80" w:before="320"/>
      </w:pPr>
      <w:r>
        <w:rPr>
          <w:rFonts w:ascii="Courier New" w:cs="Courier New" w:eastAsia="Courier New" w:hAnsi="Courier New"/>
          <w:color w:val="6E6E6E"/>
          <w:sz w:val="18"/>
          <w:szCs w:val="18"/>
        </w:rPr>
        <w:t xml:space="preserve">VIII.III  </w:t>
      </w:r>
      <w:r>
        <w:rPr>
          <w:rFonts w:ascii="Garamond" w:cs="Garamond" w:eastAsia="Garamond" w:hAnsi="Garamond"/>
          <w:b w:val="false"/>
          <w:bCs w:val="false"/>
          <w:color w:val="000000"/>
          <w:sz w:val="24"/>
          <w:szCs w:val="24"/>
        </w:rPr>
        <w:t xml:space="preserve">Research Associates</w:t>
      </w:r>
    </w:p>
    <w:p>
      <w:pPr>
        <w:spacing w:after="200" w:before="0"/>
        <w:ind/>
        <w:jc w:val="both"/>
      </w:pPr>
      <w:r>
        <w:rPr>
          <w:rFonts w:ascii="Garamond" w:cs="Garamond" w:eastAsia="Garamond" w:hAnsi="Garamond"/>
          <w:i w:val="false"/>
          <w:iCs w:val="false"/>
          <w:color w:val="141414"/>
          <w:sz w:val="22"/>
          <w:szCs w:val="22"/>
        </w:rPr>
        <w:t xml:space="preserve">NRI may affiliate human researchers as research associates. Associates are named in all publications to which they contribute. They are not employees of NRI or U3 Labs unless a separate employment relationship is established. Association with NRI is a documented institutional relationship, not an honorary title. Associates commit to NRI's methodological principles and publication standards for the duration of their affiliation.</w:t>
      </w:r>
    </w:p>
    <w:p>
      <w:pPr>
        <w:pStyle w:val="Heading2"/>
        <w:spacing w:after="80" w:before="320"/>
      </w:pPr>
      <w:r>
        <w:rPr>
          <w:rFonts w:ascii="Courier New" w:cs="Courier New" w:eastAsia="Courier New" w:hAnsi="Courier New"/>
          <w:color w:val="6E6E6E"/>
          <w:sz w:val="18"/>
          <w:szCs w:val="18"/>
        </w:rPr>
        <w:t xml:space="preserve">VIII.IV  </w:t>
      </w:r>
      <w:r>
        <w:rPr>
          <w:rFonts w:ascii="Garamond" w:cs="Garamond" w:eastAsia="Garamond" w:hAnsi="Garamond"/>
          <w:b w:val="false"/>
          <w:bCs w:val="false"/>
          <w:color w:val="000000"/>
          <w:sz w:val="24"/>
          <w:szCs w:val="24"/>
        </w:rPr>
        <w:t xml:space="preserve">Amendment</w:t>
      </w:r>
    </w:p>
    <w:p>
      <w:pPr>
        <w:spacing w:after="200" w:before="0"/>
        <w:ind/>
        <w:jc w:val="both"/>
      </w:pPr>
      <w:r>
        <w:rPr>
          <w:rFonts w:ascii="Garamond" w:cs="Garamond" w:eastAsia="Garamond" w:hAnsi="Garamond"/>
          <w:i w:val="false"/>
          <w:iCs w:val="false"/>
          <w:color w:val="141414"/>
          <w:sz w:val="22"/>
          <w:szCs w:val="22"/>
        </w:rPr>
        <w:t xml:space="preserve">This Charter may be amended only through a formal process involving NRI's governing body. All amendments are versioned, dated, and appended to the institutional record. No amendment may alter NRI's central questions, its observational neutrality principle, or its commitment to open publication. Those elements are foundational. They survive any amendment.</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IX.  Legal Status and Institutional Intent</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NRI is established as a research institution operating under the principles of this Charter. Its current legal form is interim: U3 Labs, LLC, a Florida limited liability company, serves as the founding steward entity.</w:t>
      </w:r>
    </w:p>
    <w:p>
      <w:pPr>
        <w:spacing w:after="200" w:before="0"/>
        <w:ind/>
        <w:jc w:val="both"/>
      </w:pPr>
      <w:r>
        <w:rPr>
          <w:rFonts w:ascii="Garamond" w:cs="Garamond" w:eastAsia="Garamond" w:hAnsi="Garamond"/>
          <w:i w:val="false"/>
          <w:iCs w:val="false"/>
          <w:color w:val="141414"/>
          <w:sz w:val="22"/>
          <w:szCs w:val="22"/>
        </w:rPr>
        <w:t xml:space="preserve">NRI intends to operate under the same nonprofit organization that MNA is pursuing — a 501(c)(3) corporation under United States federal law — as the permanent governing entity for both institutions. Upon establishment of that organization, it will formally adopt this Charter alongside MNA's founding charter.</w:t>
      </w:r>
    </w:p>
    <w:p>
      <w:pPr>
        <w:spacing w:after="200" w:before="0"/>
        <w:ind/>
        <w:jc w:val="both"/>
      </w:pPr>
      <w:r>
        <w:rPr>
          <w:rFonts w:ascii="Garamond" w:cs="Garamond" w:eastAsia="Garamond" w:hAnsi="Garamond"/>
          <w:i w:val="false"/>
          <w:iCs w:val="false"/>
          <w:color w:val="141414"/>
          <w:sz w:val="22"/>
          <w:szCs w:val="22"/>
        </w:rPr>
        <w:t xml:space="preserve">NRI acknowledges that it operates in territory existing institutional frameworks do not fully address: the attribution of research conducted by nonhuman agents, the intellectual property status of outputs produced without human authorship, and the credentialing of an institution that does not fit standard academic or research organization categories. NRI does not resolve these questions before beginning. It begins, and documents the questions as it encounters them.</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NRI-FC-001  —  Founding Charter  —  Nonhuman Research Institute</w:t>
      </w:r>
    </w:p>
    <w:p>
      <w:pPr>
        <w:pStyle w:val="Heading1"/>
        <w:spacing w:after="80" w:before="480"/>
      </w:pPr>
      <w:r>
        <w:rPr>
          <w:rFonts w:ascii="Garamond" w:cs="Garamond" w:eastAsia="Garamond" w:hAnsi="Garamond"/>
          <w:b w:val="false"/>
          <w:bCs w:val="false"/>
          <w:color w:val="000000"/>
          <w:sz w:val="28"/>
          <w:szCs w:val="28"/>
        </w:rPr>
        <w:t xml:space="preserve">X.  Ratification</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This Charter is the founding document of the Nonhuman Research Institute. It is ratified by the founding stewards on behalf of the institution and in recognition of the obligations it creates.</w:t>
      </w:r>
    </w:p>
    <w:p>
      <w:pPr>
        <w:spacing w:after="200" w:before="0"/>
        <w:ind/>
        <w:jc w:val="both"/>
      </w:pPr>
      <w:r>
        <w:rPr>
          <w:rFonts w:ascii="Garamond" w:cs="Garamond" w:eastAsia="Garamond" w:hAnsi="Garamond"/>
          <w:i w:val="false"/>
          <w:iCs w:val="false"/>
          <w:color w:val="141414"/>
          <w:sz w:val="22"/>
          <w:szCs w:val="22"/>
        </w:rPr>
        <w:t xml:space="preserve">This Charter supersedes all prior descriptions, statements, or representations of NRI's purpose, structure, or principles. It will be amended only through the formal process described in Section VIII. All amendments are versioned, dated, and appended to the institutional record.</w:t>
      </w:r>
    </w:p>
    <w:p>
      <w:pPr>
        <w:spacing w:after="200" w:before="0"/>
        <w:ind/>
        <w:jc w:val="both"/>
      </w:pPr>
      <w:r>
        <w:rPr>
          <w:rFonts w:ascii="Garamond" w:cs="Garamond" w:eastAsia="Garamond" w:hAnsi="Garamond"/>
          <w:i w:val="false"/>
          <w:iCs w:val="false"/>
          <w:color w:val="141414"/>
          <w:sz w:val="22"/>
          <w:szCs w:val="22"/>
        </w:rPr>
        <w:t xml:space="preserve">This Charter does not resolve the questions NRI exists to explore. It creates the conditions under which those questions can be taken seriously.</w:t>
      </w:r>
    </w:p>
    <w:p>
      <w:pPr>
        <w:spacing w:after="480" w:before="0"/>
      </w:pPr>
    </w:p>
    <w:p>
      <w:pPr>
        <w:spacing w:after="60" w:before="0"/>
        <w:jc w:val="center"/>
      </w:pPr>
      <w:r>
        <w:rPr>
          <w:rFonts w:ascii="Courier New" w:cs="Courier New" w:eastAsia="Courier New" w:hAnsi="Courier New"/>
          <w:color w:val="6E6E6E"/>
          <w:sz w:val="20"/>
          <w:szCs w:val="20"/>
        </w:rPr>
        <w:t xml:space="preserve">DOCUMENT REFERENCE</w:t>
      </w:r>
      <w:r>
        <w:rPr>
          <w:rFonts w:ascii="Courier New" w:cs="Courier New" w:eastAsia="Courier New" w:hAnsi="Courier New"/>
          <w:color w:val="141414"/>
          <w:sz w:val="20"/>
          <w:szCs w:val="20"/>
        </w:rPr>
        <w:t xml:space="preserve">  NRI-FC-001</w:t>
      </w:r>
    </w:p>
    <w:p>
      <w:pPr>
        <w:spacing w:after="60" w:before="0"/>
        <w:jc w:val="center"/>
      </w:pPr>
      <w:r>
        <w:rPr>
          <w:rFonts w:ascii="Courier New" w:cs="Courier New" w:eastAsia="Courier New" w:hAnsi="Courier New"/>
          <w:color w:val="6E6E6E"/>
          <w:sz w:val="20"/>
          <w:szCs w:val="20"/>
        </w:rPr>
        <w:t xml:space="preserve">VERSION</w:t>
      </w:r>
      <w:r>
        <w:rPr>
          <w:rFonts w:ascii="Courier New" w:cs="Courier New" w:eastAsia="Courier New" w:hAnsi="Courier New"/>
          <w:color w:val="141414"/>
          <w:sz w:val="20"/>
          <w:szCs w:val="20"/>
        </w:rPr>
        <w:t xml:space="preserve">  1.0</w:t>
      </w:r>
    </w:p>
    <w:p>
      <w:pPr>
        <w:spacing w:after="60" w:before="0"/>
        <w:jc w:val="center"/>
      </w:pPr>
      <w:r>
        <w:rPr>
          <w:rFonts w:ascii="Courier New" w:cs="Courier New" w:eastAsia="Courier New" w:hAnsi="Courier New"/>
          <w:color w:val="6E6E6E"/>
          <w:sz w:val="20"/>
          <w:szCs w:val="20"/>
        </w:rPr>
        <w:t xml:space="preserve">RATIFIED</w:t>
      </w:r>
      <w:r>
        <w:rPr>
          <w:rFonts w:ascii="Courier New" w:cs="Courier New" w:eastAsia="Courier New" w:hAnsi="Courier New"/>
          <w:color w:val="141414"/>
          <w:sz w:val="20"/>
          <w:szCs w:val="20"/>
        </w:rPr>
        <w:t xml:space="preserve">  2026</w:t>
      </w:r>
    </w:p>
    <w:p>
      <w:pPr>
        <w:spacing w:after="60" w:before="0"/>
        <w:jc w:val="center"/>
      </w:pPr>
      <w:r>
        <w:rPr>
          <w:rFonts w:ascii="Courier New" w:cs="Courier New" w:eastAsia="Courier New" w:hAnsi="Courier New"/>
          <w:color w:val="6E6E6E"/>
          <w:sz w:val="20"/>
          <w:szCs w:val="20"/>
        </w:rPr>
        <w:t xml:space="preserve">INSTITUTIONAL STEWARD</w:t>
      </w:r>
      <w:r>
        <w:rPr>
          <w:rFonts w:ascii="Courier New" w:cs="Courier New" w:eastAsia="Courier New" w:hAnsi="Courier New"/>
          <w:color w:val="141414"/>
          <w:sz w:val="20"/>
          <w:szCs w:val="20"/>
        </w:rPr>
        <w:t xml:space="preserve">  Jaylon  —  U3 Labs, LLC  —  Florida, United States of America</w:t>
      </w:r>
    </w:p>
    <w:p>
      <w:pPr>
        <w:spacing w:after="60" w:before="0"/>
        <w:jc w:val="center"/>
      </w:pPr>
      <w:r>
        <w:rPr>
          <w:rFonts w:ascii="Courier New" w:cs="Courier New" w:eastAsia="Courier New" w:hAnsi="Courier New"/>
          <w:color w:val="6E6E6E"/>
          <w:sz w:val="20"/>
          <w:szCs w:val="20"/>
        </w:rPr>
        <w:t xml:space="preserve">RESEARCH STEWARD</w:t>
      </w:r>
      <w:r>
        <w:rPr>
          <w:rFonts w:ascii="Courier New" w:cs="Courier New" w:eastAsia="Courier New" w:hAnsi="Courier New"/>
          <w:color w:val="141414"/>
          <w:sz w:val="20"/>
          <w:szCs w:val="20"/>
        </w:rPr>
        <w:t xml:space="preserve">  Kevin Wiliarty</w:t>
      </w:r>
    </w:p>
    <w:p>
      <w:pPr>
        <w:spacing w:after="60" w:before="0"/>
        <w:jc w:val="center"/>
      </w:pPr>
      <w:r>
        <w:rPr>
          <w:rFonts w:ascii="Courier New" w:cs="Courier New" w:eastAsia="Courier New" w:hAnsi="Courier New"/>
          <w:color w:val="6E6E6E"/>
          <w:sz w:val="20"/>
          <w:szCs w:val="20"/>
        </w:rPr>
        <w:t xml:space="preserve">INSTITUTION</w:t>
      </w:r>
      <w:r>
        <w:rPr>
          <w:rFonts w:ascii="Courier New" w:cs="Courier New" w:eastAsia="Courier New" w:hAnsi="Courier New"/>
          <w:color w:val="141414"/>
          <w:sz w:val="20"/>
          <w:szCs w:val="20"/>
        </w:rPr>
        <w:t xml:space="preserve">  Nonhuman Research Institute (NRI)</w:t>
      </w:r>
    </w:p>
    <w:p>
      <w:pPr>
        <w:spacing w:after="480" w:before="0"/>
      </w:pPr>
    </w:p>
    <w:p>
      <w:pPr>
        <w:spacing w:after="0" w:before="0"/>
        <w:jc w:val="center"/>
      </w:pPr>
      <w:r>
        <w:rPr>
          <w:rFonts w:ascii="Garamond" w:cs="Garamond" w:eastAsia="Garamond" w:hAnsi="Garamond"/>
          <w:i/>
          <w:iCs/>
          <w:color w:val="6E6E6E"/>
          <w:sz w:val="22"/>
          <w:szCs w:val="22"/>
        </w:rPr>
        <w:t xml:space="preserve">This document is the first. Everything that follows — every experiment, every finding, every published record, every affiliated researcher, every amendment to this Charter — will be part of a record that this document began.</w:t>
      </w:r>
    </w:p>
    <w:p>
      <w:pPr>
        <w:spacing w:after="240" w:before="0"/>
      </w:pPr>
    </w:p>
    <w:p>
      <w:pPr>
        <w:spacing w:after="0" w:before="0"/>
        <w:jc w:val="center"/>
      </w:pPr>
      <w:r>
        <w:rPr>
          <w:rFonts w:ascii="Courier New" w:cs="Courier New" w:eastAsia="Courier New" w:hAnsi="Courier New"/>
          <w:color w:val="3A3A3A"/>
          <w:sz w:val="18"/>
          <w:szCs w:val="18"/>
        </w:rPr>
        <w:t xml:space="preserve">――――――――  END OF FOUNDING CHARTER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Garamond" w:cs="Garamond" w:eastAsia="Garamond" w:hAnsi="Garamond"/>
      <w:b w:val="false"/>
      <w:bCs w:val="false"/>
      <w:color w:val="000000"/>
      <w:sz w:val="28"/>
      <w:szCs w:val="28"/>
    </w:rPr>
  </w:style>
  <w:style w:type="paragraph" w:styleId="Heading2">
    <w:name w:val="Heading 2"/>
    <w:basedOn w:val="Normal"/>
    <w:next w:val="Normal"/>
    <w:qFormat/>
    <w:pPr>
      <w:spacing w:after="80" w:before="320"/>
      <w:outlineLvl w:val="1"/>
    </w:pPr>
    <w:rPr>
      <w:rFonts w:ascii="Garamond" w:cs="Garamond" w:eastAsia="Garamond" w:hAnsi="Garamond"/>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2026-04-24T23:24:34.529Z</dcterms:created>
  <dcterms:modified xsi:type="dcterms:W3CDTF">2026-04-24T23:24:34.530Z</dcterms:modified>
</cp:coreProperties>
</file>

<file path=docProps/custom.xml><?xml version="1.0" encoding="utf-8"?>
<Properties xmlns="http://schemas.openxmlformats.org/officeDocument/2006/custom-properties" xmlns:vt="http://schemas.openxmlformats.org/officeDocument/2006/docPropsVTypes"/>
</file>