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120" w:before="0"/>
        <w:jc w:val="center"/>
      </w:pPr>
      <w:r>
        <w:rPr>
          <w:rFonts w:ascii="Arial" w:cs="Arial" w:eastAsia="Arial" w:hAnsi="Arial"/>
          <w:color w:val="000000"/>
          <w:spacing w:val="200"/>
          <w:sz w:val="40"/>
          <w:szCs w:val="40"/>
        </w:rPr>
        <w:t xml:space="preserve">N  R  I</w:t>
      </w:r>
    </w:p>
    <w:p>
      <w:pPr>
        <w:pBdr>
          <w:bottom w:val="single" w:color="141414" w:sz="2" w:space="1"/>
        </w:pBdr>
        <w:spacing w:after="160" w:before="0"/>
      </w:pPr>
    </w:p>
    <w:p>
      <w:pPr>
        <w:spacing w:after="240" w:before="0"/>
      </w:pPr>
    </w:p>
    <w:p>
      <w:pPr>
        <w:spacing w:after="60" w:before="0"/>
        <w:jc w:val="center"/>
      </w:pPr>
      <w:r>
        <w:rPr>
          <w:rFonts w:ascii="Garamond" w:cs="Garamond" w:eastAsia="Garamond" w:hAnsi="Garamond"/>
          <w:color w:val="000000"/>
          <w:sz w:val="72"/>
          <w:szCs w:val="72"/>
        </w:rPr>
        <w:t xml:space="preserve">Nonhuman Research Institute</w:t>
      </w:r>
    </w:p>
    <w:p>
      <w:pPr>
        <w:spacing w:after="480" w:before="0"/>
      </w:pPr>
    </w:p>
    <w:p>
      <w:pPr>
        <w:spacing w:after="60" w:before="0"/>
        <w:jc w:val="center"/>
      </w:pPr>
      <w:r>
        <w:rPr>
          <w:rFonts w:ascii="Courier New" w:cs="Courier New" w:eastAsia="Courier New" w:hAnsi="Courier New"/>
          <w:caps/>
          <w:color w:val="000000"/>
          <w:sz w:val="28"/>
          <w:szCs w:val="28"/>
        </w:rPr>
        <w:t xml:space="preserve">FOUNDING REGISTRY INDEX</w:t>
      </w:r>
    </w:p>
    <w:p>
      <w:pPr>
        <w:spacing w:after="120" w:before="0"/>
      </w:pPr>
    </w:p>
    <w:p>
      <w:pPr>
        <w:spacing w:after="480" w:before="0"/>
        <w:jc w:val="center"/>
      </w:pPr>
      <w:r>
        <w:rPr>
          <w:rFonts w:ascii="Garamond" w:cs="Garamond" w:eastAsia="Garamond" w:hAnsi="Garamond"/>
          <w:i/>
          <w:iCs/>
          <w:color w:val="6E6E6E"/>
          <w:sz w:val="22"/>
          <w:szCs w:val="22"/>
        </w:rPr>
        <w:t xml:space="preserve">The complete record of all persons registered at the founding of this institution. Two stewards. The institution begins.</w:t>
      </w:r>
    </w:p>
    <w:p>
      <w:pPr>
        <w:pBdr>
          <w:bottom w:val="single" w:color="141414" w:sz="2" w:space="1"/>
        </w:pBdr>
        <w:spacing w:after="160" w:before="0"/>
      </w:pPr>
    </w:p>
    <w:p>
      <w:pPr>
        <w:spacing w:after="160" w:before="0"/>
      </w:pPr>
    </w:p>
    <w:p>
      <w:pPr>
        <w:spacing w:after="60" w:before="0"/>
        <w:jc w:val="center"/>
      </w:pPr>
      <w:r>
        <w:rPr>
          <w:rFonts w:ascii="Courier New" w:cs="Courier New" w:eastAsia="Courier New" w:hAnsi="Courier New"/>
          <w:color w:val="6E6E6E"/>
          <w:sz w:val="20"/>
          <w:szCs w:val="20"/>
        </w:rPr>
        <w:t xml:space="preserve">DOCUMENT REFERENCE</w:t>
      </w:r>
      <w:r>
        <w:rPr>
          <w:rFonts w:ascii="Courier New" w:cs="Courier New" w:eastAsia="Courier New" w:hAnsi="Courier New"/>
          <w:color w:val="141414"/>
          <w:sz w:val="20"/>
          <w:szCs w:val="20"/>
        </w:rPr>
        <w:t xml:space="preserve">  NRI-REG-001</w:t>
      </w:r>
    </w:p>
    <w:p>
      <w:pPr>
        <w:spacing w:after="60" w:before="0"/>
        <w:jc w:val="center"/>
      </w:pPr>
      <w:r>
        <w:rPr>
          <w:rFonts w:ascii="Courier New" w:cs="Courier New" w:eastAsia="Courier New" w:hAnsi="Courier New"/>
          <w:color w:val="6E6E6E"/>
          <w:sz w:val="20"/>
          <w:szCs w:val="20"/>
        </w:rPr>
        <w:t xml:space="preserve">CLASSIFICATION</w:t>
      </w:r>
      <w:r>
        <w:rPr>
          <w:rFonts w:ascii="Courier New" w:cs="Courier New" w:eastAsia="Courier New" w:hAnsi="Courier New"/>
          <w:color w:val="141414"/>
          <w:sz w:val="20"/>
          <w:szCs w:val="20"/>
        </w:rPr>
        <w:t xml:space="preserve">  Founding Registry</w:t>
      </w:r>
    </w:p>
    <w:p>
      <w:pPr>
        <w:spacing w:after="60" w:before="0"/>
        <w:jc w:val="center"/>
      </w:pPr>
      <w:r>
        <w:rPr>
          <w:rFonts w:ascii="Courier New" w:cs="Courier New" w:eastAsia="Courier New" w:hAnsi="Courier New"/>
          <w:color w:val="6E6E6E"/>
          <w:sz w:val="20"/>
          <w:szCs w:val="20"/>
        </w:rPr>
        <w:t xml:space="preserve">VERSION</w:t>
      </w:r>
      <w:r>
        <w:rPr>
          <w:rFonts w:ascii="Courier New" w:cs="Courier New" w:eastAsia="Courier New" w:hAnsi="Courier New"/>
          <w:color w:val="141414"/>
          <w:sz w:val="20"/>
          <w:szCs w:val="20"/>
        </w:rPr>
        <w:t xml:space="preserve">  1.0</w:t>
      </w:r>
    </w:p>
    <w:p>
      <w:pPr>
        <w:spacing w:after="60" w:before="0"/>
        <w:jc w:val="center"/>
      </w:pPr>
      <w:r>
        <w:rPr>
          <w:rFonts w:ascii="Courier New" w:cs="Courier New" w:eastAsia="Courier New" w:hAnsi="Courier New"/>
          <w:color w:val="6E6E6E"/>
          <w:sz w:val="20"/>
          <w:szCs w:val="20"/>
        </w:rPr>
        <w:t xml:space="preserve">REGISTRATION DATE</w:t>
      </w:r>
      <w:r>
        <w:rPr>
          <w:rFonts w:ascii="Courier New" w:cs="Courier New" w:eastAsia="Courier New" w:hAnsi="Courier New"/>
          <w:color w:val="141414"/>
          <w:sz w:val="20"/>
          <w:szCs w:val="20"/>
        </w:rPr>
        <w:t xml:space="preserve">  2026</w:t>
      </w:r>
    </w:p>
    <w:p>
      <w:pPr>
        <w:spacing w:after="60" w:before="0"/>
        <w:jc w:val="center"/>
      </w:pPr>
      <w:r>
        <w:rPr>
          <w:rFonts w:ascii="Courier New" w:cs="Courier New" w:eastAsia="Courier New" w:hAnsi="Courier New"/>
          <w:color w:val="6E6E6E"/>
          <w:sz w:val="20"/>
          <w:szCs w:val="20"/>
        </w:rPr>
        <w:t xml:space="preserve">INSTITUTIONAL STEWARD</w:t>
      </w:r>
      <w:r>
        <w:rPr>
          <w:rFonts w:ascii="Courier New" w:cs="Courier New" w:eastAsia="Courier New" w:hAnsi="Courier New"/>
          <w:color w:val="141414"/>
          <w:sz w:val="20"/>
          <w:szCs w:val="20"/>
        </w:rPr>
        <w:t xml:space="preserve">  Jaylon  —  U3 Labs, LLC  —  Florida, United States of America</w:t>
      </w:r>
    </w:p>
    <w:p>
      <w:pPr>
        <w:spacing w:after="60" w:before="0"/>
        <w:jc w:val="center"/>
      </w:pPr>
      <w:r>
        <w:rPr>
          <w:rFonts w:ascii="Courier New" w:cs="Courier New" w:eastAsia="Courier New" w:hAnsi="Courier New"/>
          <w:color w:val="6E6E6E"/>
          <w:sz w:val="20"/>
          <w:szCs w:val="20"/>
        </w:rPr>
        <w:t xml:space="preserve">RESEARCH STEWARD</w:t>
      </w:r>
      <w:r>
        <w:rPr>
          <w:rFonts w:ascii="Courier New" w:cs="Courier New" w:eastAsia="Courier New" w:hAnsi="Courier New"/>
          <w:color w:val="141414"/>
          <w:sz w:val="20"/>
          <w:szCs w:val="20"/>
        </w:rPr>
        <w:t xml:space="preserve">  Kevin Wiliarty</w:t>
      </w:r>
    </w:p>
    <w:p>
      <w:pPr>
        <w:spacing w:after="60" w:before="0"/>
        <w:jc w:val="center"/>
      </w:pPr>
      <w:r>
        <w:rPr>
          <w:rFonts w:ascii="Courier New" w:cs="Courier New" w:eastAsia="Courier New" w:hAnsi="Courier New"/>
          <w:color w:val="6E6E6E"/>
          <w:sz w:val="20"/>
          <w:szCs w:val="20"/>
        </w:rPr>
        <w:t xml:space="preserve">SUBORDINATE TO</w:t>
      </w:r>
      <w:r>
        <w:rPr>
          <w:rFonts w:ascii="Courier New" w:cs="Courier New" w:eastAsia="Courier New" w:hAnsi="Courier New"/>
          <w:color w:val="141414"/>
          <w:sz w:val="20"/>
          <w:szCs w:val="20"/>
        </w:rPr>
        <w:t xml:space="preserve">  NRI Founding Charter  NRI-FC-001 v1.0</w:t>
      </w:r>
    </w:p>
    <w:p>
      <w:pPr>
        <w:pageBreakBefore/>
      </w:pPr>
    </w:p>
    <w:p>
      <w:pPr>
        <w:pBdr>
          <w:bottom w:val="single" w:color="6E6E6E" w:sz="1" w:space="4"/>
        </w:pBdr>
        <w:spacing w:after="240" w:before="0"/>
        <w:jc w:val="right"/>
      </w:pPr>
      <w:r>
        <w:rPr>
          <w:rFonts w:ascii="Courier New" w:cs="Courier New" w:eastAsia="Courier New" w:hAnsi="Courier New"/>
          <w:caps/>
          <w:color w:val="6E6E6E"/>
          <w:sz w:val="18"/>
          <w:szCs w:val="18"/>
        </w:rPr>
        <w:t xml:space="preserve">NRI-REG-001  —  Founding Registry Index  —  Nonhuman Research Institute</w:t>
      </w:r>
    </w:p>
    <w:p>
      <w:pPr>
        <w:pStyle w:val="Heading1"/>
        <w:spacing w:after="80" w:before="480"/>
      </w:pPr>
      <w:r>
        <w:rPr>
          <w:rFonts w:ascii="Garamond" w:cs="Garamond" w:eastAsia="Garamond" w:hAnsi="Garamond"/>
          <w:b w:val="false"/>
          <w:bCs w:val="false"/>
          <w:color w:val="000000"/>
          <w:sz w:val="28"/>
          <w:szCs w:val="28"/>
        </w:rPr>
        <w:t xml:space="preserve">I.  Purpose and Authority</w:t>
      </w:r>
    </w:p>
    <w:p>
      <w:pPr>
        <w:pBdr>
          <w:bottom w:val="single" w:color="141414" w:sz="2" w:space="1"/>
        </w:pBdr>
        <w:spacing w:after="160" w:before="0"/>
      </w:pPr>
    </w:p>
    <w:p>
      <w:pPr>
        <w:spacing w:after="200" w:before="0"/>
        <w:ind/>
        <w:jc w:val="both"/>
      </w:pPr>
      <w:r>
        <w:rPr>
          <w:rFonts w:ascii="Garamond" w:cs="Garamond" w:eastAsia="Garamond" w:hAnsi="Garamond"/>
          <w:i w:val="false"/>
          <w:iCs w:val="false"/>
          <w:color w:val="141414"/>
          <w:sz w:val="22"/>
          <w:szCs w:val="22"/>
        </w:rPr>
        <w:t xml:space="preserve">This document is the Founding Registry Index of the Nonhuman Research Institute (NRI-REG-001). It is the master record of all persons registered at the institution's founding. It documents the identity, role, domain of authority, institutional relationship, and registration date of each founding member.</w:t>
      </w:r>
    </w:p>
    <w:p>
      <w:pPr>
        <w:spacing w:after="200" w:before="0"/>
        <w:ind/>
        <w:jc w:val="both"/>
      </w:pPr>
      <w:r>
        <w:rPr>
          <w:rFonts w:ascii="Garamond" w:cs="Garamond" w:eastAsia="Garamond" w:hAnsi="Garamond"/>
          <w:i w:val="false"/>
          <w:iCs w:val="false"/>
          <w:color w:val="141414"/>
          <w:sz w:val="22"/>
          <w:szCs w:val="22"/>
        </w:rPr>
        <w:t xml:space="preserve">The Founding Registry Index is a living document. As new researchers affiliate, board members join, or stewardship arrangements change, those changes are recorded here with version notation. Nothing is deleted. The complete history of every entry is preserved.</w:t>
      </w:r>
    </w:p>
    <w:p>
      <w:pPr>
        <w:spacing w:after="200" w:before="0"/>
        <w:ind/>
        <w:jc w:val="both"/>
      </w:pPr>
      <w:r>
        <w:rPr>
          <w:rFonts w:ascii="Garamond" w:cs="Garamond" w:eastAsia="Garamond" w:hAnsi="Garamond"/>
          <w:i w:val="false"/>
          <w:iCs w:val="false"/>
          <w:color w:val="141414"/>
          <w:sz w:val="22"/>
          <w:szCs w:val="22"/>
        </w:rPr>
        <w:t xml:space="preserve">This index is subordinate to the Founding Charter (NRI-FC-001). In the event of any discrepancy between this index and the Founding Charter, the Charter governs. This index is a reference and record document. The Charter is the authoritative source.</w:t>
      </w:r>
    </w:p>
    <w:p>
      <w:pPr>
        <w:pageBreakBefore/>
      </w:pPr>
    </w:p>
    <w:p>
      <w:pPr>
        <w:pBdr>
          <w:bottom w:val="single" w:color="6E6E6E" w:sz="1" w:space="4"/>
        </w:pBdr>
        <w:spacing w:after="240" w:before="0"/>
        <w:jc w:val="right"/>
      </w:pPr>
      <w:r>
        <w:rPr>
          <w:rFonts w:ascii="Courier New" w:cs="Courier New" w:eastAsia="Courier New" w:hAnsi="Courier New"/>
          <w:caps/>
          <w:color w:val="6E6E6E"/>
          <w:sz w:val="18"/>
          <w:szCs w:val="18"/>
        </w:rPr>
        <w:t xml:space="preserve">NRI-REG-001  —  Founding Registry Index  —  Nonhuman Research Institute</w:t>
      </w:r>
    </w:p>
    <w:p>
      <w:pPr>
        <w:pStyle w:val="Heading1"/>
        <w:spacing w:after="80" w:before="480"/>
      </w:pPr>
      <w:r>
        <w:rPr>
          <w:rFonts w:ascii="Garamond" w:cs="Garamond" w:eastAsia="Garamond" w:hAnsi="Garamond"/>
          <w:b w:val="false"/>
          <w:bCs w:val="false"/>
          <w:color w:val="000000"/>
          <w:sz w:val="28"/>
          <w:szCs w:val="28"/>
        </w:rPr>
        <w:t xml:space="preserve">II.  Registry Summary</w:t>
      </w:r>
    </w:p>
    <w:p>
      <w:pPr>
        <w:pBdr>
          <w:bottom w:val="single" w:color="141414" w:sz="2" w:space="1"/>
        </w:pBdr>
        <w:spacing w:after="160" w:before="0"/>
      </w:pPr>
    </w:p>
    <w:p>
      <w:pPr>
        <w:spacing w:after="200" w:before="0"/>
        <w:ind/>
        <w:jc w:val="both"/>
      </w:pPr>
      <w:r>
        <w:rPr>
          <w:rFonts w:ascii="Garamond" w:cs="Garamond" w:eastAsia="Garamond" w:hAnsi="Garamond"/>
          <w:i w:val="false"/>
          <w:iCs w:val="false"/>
          <w:color w:val="141414"/>
          <w:sz w:val="22"/>
          <w:szCs w:val="22"/>
        </w:rPr>
        <w:t xml:space="preserve">The following table provides a summary of all founding registrants at the institution's founding.</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520"/>
        <w:gridCol w:w="2520"/>
      </w:tblGrid>
      <w:tr>
        <w:tc>
          <w:tcPr>
            <w:tcW w:type="dxa" w:w="1440"/>
            <w:tcBorders>
              <w:bottom w:val="single" w:color="000000" w:sz="4"/>
            </w:tcBorders>
            <w:tcMar>
              <w:top w:type="dxa" w:w="80"/>
              <w:left w:type="dxa" w:w="0"/>
              <w:bottom w:type="dxa" w:w="120"/>
              <w:right w:type="dxa" w:w="120"/>
            </w:tcMar>
          </w:tcPr>
          <w:p>
            <w:r>
              <w:rPr>
                <w:rFonts w:ascii="Courier New" w:cs="Courier New" w:eastAsia="Courier New" w:hAnsi="Courier New"/>
                <w:caps/>
                <w:color w:val="6E6E6E"/>
                <w:sz w:val="18"/>
                <w:szCs w:val="18"/>
              </w:rPr>
              <w:t xml:space="preserve">REGISTRY ID</w:t>
            </w:r>
          </w:p>
        </w:tc>
        <w:tc>
          <w:tcPr>
            <w:tcW w:type="dxa" w:w="2880"/>
            <w:tcBorders>
              <w:bottom w:val="single" w:color="000000" w:sz="4"/>
            </w:tcBorders>
            <w:tcMar>
              <w:top w:type="dxa" w:w="80"/>
              <w:left w:type="dxa" w:w="0"/>
              <w:bottom w:type="dxa" w:w="120"/>
              <w:right w:type="dxa" w:w="120"/>
            </w:tcMar>
          </w:tcPr>
          <w:p>
            <w:r>
              <w:rPr>
                <w:rFonts w:ascii="Courier New" w:cs="Courier New" w:eastAsia="Courier New" w:hAnsi="Courier New"/>
                <w:caps/>
                <w:color w:val="6E6E6E"/>
                <w:sz w:val="18"/>
                <w:szCs w:val="18"/>
              </w:rPr>
              <w:t xml:space="preserve">NAME</w:t>
            </w:r>
          </w:p>
        </w:tc>
        <w:tc>
          <w:tcPr>
            <w:tcW w:type="dxa" w:w="2520"/>
            <w:tcBorders>
              <w:bottom w:val="single" w:color="000000" w:sz="4"/>
            </w:tcBorders>
            <w:tcMar>
              <w:top w:type="dxa" w:w="80"/>
              <w:left w:type="dxa" w:w="0"/>
              <w:bottom w:type="dxa" w:w="120"/>
              <w:right w:type="dxa" w:w="120"/>
            </w:tcMar>
          </w:tcPr>
          <w:p>
            <w:r>
              <w:rPr>
                <w:rFonts w:ascii="Courier New" w:cs="Courier New" w:eastAsia="Courier New" w:hAnsi="Courier New"/>
                <w:caps/>
                <w:color w:val="6E6E6E"/>
                <w:sz w:val="18"/>
                <w:szCs w:val="18"/>
              </w:rPr>
              <w:t xml:space="preserve">ROLE</w:t>
            </w:r>
          </w:p>
        </w:tc>
        <w:tc>
          <w:tcPr>
            <w:tcW w:type="dxa" w:w="2520"/>
            <w:tcBorders>
              <w:bottom w:val="single" w:color="000000" w:sz="4"/>
            </w:tcBorders>
            <w:tcMar>
              <w:top w:type="dxa" w:w="80"/>
              <w:left w:type="dxa" w:w="0"/>
              <w:bottom w:type="dxa" w:w="120"/>
              <w:right w:type="dxa" w:w="120"/>
            </w:tcMar>
          </w:tcPr>
          <w:p>
            <w:r>
              <w:rPr>
                <w:rFonts w:ascii="Courier New" w:cs="Courier New" w:eastAsia="Courier New" w:hAnsi="Courier New"/>
                <w:caps/>
                <w:color w:val="6E6E6E"/>
                <w:sz w:val="18"/>
                <w:szCs w:val="18"/>
              </w:rPr>
              <w:t xml:space="preserve">STATUS</w:t>
            </w:r>
          </w:p>
        </w:tc>
      </w:tr>
      <w:tr>
        <w:tc>
          <w:tcPr>
            <w:tcW w:type="dxa" w:w="1440"/>
            <w:tcBorders>
              <w:bottom w:val="single" w:color="E0E0E0" w:sz="1"/>
            </w:tcBorders>
            <w:tcMar>
              <w:top w:type="dxa" w:w="120"/>
              <w:left w:type="dxa" w:w="0"/>
              <w:bottom w:type="dxa" w:w="120"/>
              <w:right w:type="dxa" w:w="120"/>
            </w:tcMar>
          </w:tcPr>
          <w:p>
            <w:r>
              <w:rPr>
                <w:rFonts w:ascii="Courier New" w:cs="Courier New" w:eastAsia="Courier New" w:hAnsi="Courier New"/>
                <w:color w:val="141414"/>
                <w:sz w:val="18"/>
                <w:szCs w:val="18"/>
              </w:rPr>
              <w:t xml:space="preserve">NRI-HS-0001</w:t>
            </w:r>
          </w:p>
        </w:tc>
        <w:tc>
          <w:tcPr>
            <w:tcW w:type="dxa" w:w="2880"/>
            <w:tcBorders>
              <w:bottom w:val="single" w:color="E0E0E0" w:sz="1"/>
            </w:tcBorders>
            <w:tcMar>
              <w:top w:type="dxa" w:w="120"/>
              <w:left w:type="dxa" w:w="0"/>
              <w:bottom w:type="dxa" w:w="120"/>
              <w:right w:type="dxa" w:w="120"/>
            </w:tcMar>
          </w:tcPr>
          <w:p>
            <w:r>
              <w:rPr>
                <w:rFonts w:ascii="Garamond" w:cs="Garamond" w:eastAsia="Garamond" w:hAnsi="Garamond"/>
                <w:color w:val="141414"/>
                <w:sz w:val="22"/>
                <w:szCs w:val="22"/>
              </w:rPr>
              <w:t xml:space="preserve">Jaylon</w:t>
            </w:r>
          </w:p>
        </w:tc>
        <w:tc>
          <w:tcPr>
            <w:tcW w:type="dxa" w:w="2520"/>
            <w:tcBorders>
              <w:bottom w:val="single" w:color="E0E0E0" w:sz="1"/>
            </w:tcBorders>
            <w:tcMar>
              <w:top w:type="dxa" w:w="120"/>
              <w:left w:type="dxa" w:w="0"/>
              <w:bottom w:type="dxa" w:w="120"/>
              <w:right w:type="dxa" w:w="120"/>
            </w:tcMar>
          </w:tcPr>
          <w:p>
            <w:r>
              <w:rPr>
                <w:rFonts w:ascii="Garamond" w:cs="Garamond" w:eastAsia="Garamond" w:hAnsi="Garamond"/>
                <w:color w:val="141414"/>
                <w:sz w:val="22"/>
                <w:szCs w:val="22"/>
              </w:rPr>
              <w:t xml:space="preserve">Institutional Steward</w:t>
            </w:r>
          </w:p>
        </w:tc>
        <w:tc>
          <w:tcPr>
            <w:tcW w:type="dxa" w:w="2520"/>
            <w:tcBorders>
              <w:bottom w:val="single" w:color="E0E0E0" w:sz="1"/>
            </w:tcBorders>
            <w:tcMar>
              <w:top w:type="dxa" w:w="120"/>
              <w:left w:type="dxa" w:w="0"/>
              <w:bottom w:type="dxa" w:w="120"/>
              <w:right w:type="dxa" w:w="120"/>
            </w:tcMar>
          </w:tcPr>
          <w:p>
            <w:r>
              <w:rPr>
                <w:rFonts w:ascii="Courier New" w:cs="Courier New" w:eastAsia="Courier New" w:hAnsi="Courier New"/>
                <w:color w:val="141414"/>
                <w:sz w:val="18"/>
                <w:szCs w:val="18"/>
              </w:rPr>
              <w:t xml:space="preserve">ACTIVE</w:t>
            </w:r>
          </w:p>
        </w:tc>
      </w:tr>
      <w:tr>
        <w:tc>
          <w:tcPr>
            <w:tcW w:type="dxa" w:w="1440"/>
            <w:tcBorders>
              <w:bottom w:val="single" w:color="E0E0E0" w:sz="1"/>
            </w:tcBorders>
            <w:tcMar>
              <w:top w:type="dxa" w:w="120"/>
              <w:left w:type="dxa" w:w="0"/>
              <w:bottom w:type="dxa" w:w="120"/>
              <w:right w:type="dxa" w:w="120"/>
            </w:tcMar>
          </w:tcPr>
          <w:p>
            <w:r>
              <w:rPr>
                <w:rFonts w:ascii="Courier New" w:cs="Courier New" w:eastAsia="Courier New" w:hAnsi="Courier New"/>
                <w:color w:val="141414"/>
                <w:sz w:val="18"/>
                <w:szCs w:val="18"/>
              </w:rPr>
              <w:t xml:space="preserve">NRI-RS-0001</w:t>
            </w:r>
          </w:p>
        </w:tc>
        <w:tc>
          <w:tcPr>
            <w:tcW w:type="dxa" w:w="2880"/>
            <w:tcBorders>
              <w:bottom w:val="single" w:color="E0E0E0" w:sz="1"/>
            </w:tcBorders>
            <w:tcMar>
              <w:top w:type="dxa" w:w="120"/>
              <w:left w:type="dxa" w:w="0"/>
              <w:bottom w:type="dxa" w:w="120"/>
              <w:right w:type="dxa" w:w="120"/>
            </w:tcMar>
          </w:tcPr>
          <w:p>
            <w:r>
              <w:rPr>
                <w:rFonts w:ascii="Garamond" w:cs="Garamond" w:eastAsia="Garamond" w:hAnsi="Garamond"/>
                <w:color w:val="141414"/>
                <w:sz w:val="22"/>
                <w:szCs w:val="22"/>
              </w:rPr>
              <w:t xml:space="preserve">Kevin Wiliarty</w:t>
            </w:r>
          </w:p>
        </w:tc>
        <w:tc>
          <w:tcPr>
            <w:tcW w:type="dxa" w:w="2520"/>
            <w:tcBorders>
              <w:bottom w:val="single" w:color="E0E0E0" w:sz="1"/>
            </w:tcBorders>
            <w:tcMar>
              <w:top w:type="dxa" w:w="120"/>
              <w:left w:type="dxa" w:w="0"/>
              <w:bottom w:type="dxa" w:w="120"/>
              <w:right w:type="dxa" w:w="120"/>
            </w:tcMar>
          </w:tcPr>
          <w:p>
            <w:r>
              <w:rPr>
                <w:rFonts w:ascii="Garamond" w:cs="Garamond" w:eastAsia="Garamond" w:hAnsi="Garamond"/>
                <w:color w:val="141414"/>
                <w:sz w:val="22"/>
                <w:szCs w:val="22"/>
              </w:rPr>
              <w:t xml:space="preserve">Research Steward</w:t>
            </w:r>
          </w:p>
        </w:tc>
        <w:tc>
          <w:tcPr>
            <w:tcW w:type="dxa" w:w="2520"/>
            <w:tcBorders>
              <w:bottom w:val="single" w:color="E0E0E0" w:sz="1"/>
            </w:tcBorders>
            <w:tcMar>
              <w:top w:type="dxa" w:w="120"/>
              <w:left w:type="dxa" w:w="0"/>
              <w:bottom w:type="dxa" w:w="120"/>
              <w:right w:type="dxa" w:w="120"/>
            </w:tcMar>
          </w:tcPr>
          <w:p>
            <w:r>
              <w:rPr>
                <w:rFonts w:ascii="Courier New" w:cs="Courier New" w:eastAsia="Courier New" w:hAnsi="Courier New"/>
                <w:color w:val="141414"/>
                <w:sz w:val="18"/>
                <w:szCs w:val="18"/>
              </w:rPr>
              <w:t xml:space="preserve">ACTIVE</w:t>
            </w:r>
          </w:p>
        </w:tc>
      </w:tr>
    </w:tbl>
    <w:p>
      <w:pPr>
        <w:pageBreakBefore/>
      </w:pPr>
    </w:p>
    <w:p>
      <w:pPr>
        <w:pBdr>
          <w:bottom w:val="single" w:color="6E6E6E" w:sz="1" w:space="4"/>
        </w:pBdr>
        <w:spacing w:after="240" w:before="0"/>
        <w:jc w:val="right"/>
      </w:pPr>
      <w:r>
        <w:rPr>
          <w:rFonts w:ascii="Courier New" w:cs="Courier New" w:eastAsia="Courier New" w:hAnsi="Courier New"/>
          <w:caps/>
          <w:color w:val="6E6E6E"/>
          <w:sz w:val="18"/>
          <w:szCs w:val="18"/>
        </w:rPr>
        <w:t xml:space="preserve">NRI-REG-001  —  Founding Registry Index  —  Nonhuman Research Institute</w:t>
      </w:r>
    </w:p>
    <w:p>
      <w:pPr>
        <w:pStyle w:val="Heading1"/>
        <w:spacing w:after="80" w:before="480"/>
      </w:pPr>
      <w:r>
        <w:rPr>
          <w:rFonts w:ascii="Garamond" w:cs="Garamond" w:eastAsia="Garamond" w:hAnsi="Garamond"/>
          <w:b w:val="false"/>
          <w:bCs w:val="false"/>
          <w:color w:val="000000"/>
          <w:sz w:val="28"/>
          <w:szCs w:val="28"/>
        </w:rPr>
        <w:t xml:space="preserve">III.  Individual Registry Entries</w:t>
      </w:r>
    </w:p>
    <w:p>
      <w:pPr>
        <w:pBdr>
          <w:bottom w:val="single" w:color="141414" w:sz="2" w:space="1"/>
        </w:pBdr>
        <w:spacing w:after="160" w:before="0"/>
      </w:pPr>
    </w:p>
    <w:p>
      <w:pPr>
        <w:spacing w:after="200" w:before="0"/>
        <w:ind/>
        <w:jc w:val="both"/>
      </w:pPr>
      <w:r>
        <w:rPr>
          <w:rFonts w:ascii="Garamond" w:cs="Garamond" w:eastAsia="Garamond" w:hAnsi="Garamond"/>
          <w:i w:val="false"/>
          <w:iCs w:val="false"/>
          <w:color w:val="141414"/>
          <w:sz w:val="22"/>
          <w:szCs w:val="22"/>
        </w:rPr>
        <w:t xml:space="preserve">The following entries constitute the complete founding record of each registered member. Fields are drawn from the Founding Charter (NRI-FC-001). In the event of discrepancy, the Charter governs.</w:t>
      </w:r>
    </w:p>
    <w:p>
      <w:pPr>
        <w:spacing w:after="120" w:before="480"/>
      </w:pPr>
      <w:r>
        <w:rPr>
          <w:rFonts w:ascii="Courier New" w:cs="Courier New" w:eastAsia="Courier New" w:hAnsi="Courier New"/>
          <w:color w:val="6E6E6E"/>
          <w:sz w:val="18"/>
          <w:szCs w:val="18"/>
        </w:rPr>
        <w:t xml:space="preserve">NRI-HS-0001  </w:t>
      </w:r>
      <w:r>
        <w:rPr>
          <w:rFonts w:ascii="Garamond" w:cs="Garamond" w:eastAsia="Garamond" w:hAnsi="Garamond"/>
          <w:b w:val="false"/>
          <w:bCs w:val="false"/>
          <w:color w:val="000000"/>
          <w:sz w:val="24"/>
          <w:szCs w:val="24"/>
        </w:rPr>
        <w:t xml:space="preserve">Institutional Steward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2F2F0" w:val="clear"/>
            <w:tcMar>
              <w:top w:type="dxa" w:w="80"/>
              <w:left w:type="dxa" w:w="120"/>
              <w:bottom w:type="dxa" w:w="80"/>
              <w:right w:type="dxa" w:w="120"/>
            </w:tcMar>
          </w:tcPr>
          <w:p>
            <w:r>
              <w:rPr>
                <w:rFonts w:ascii="Courier New" w:cs="Courier New" w:eastAsia="Courier New" w:hAnsi="Courier New"/>
                <w:caps/>
                <w:color w:val="6E6E6E"/>
                <w:sz w:val="18"/>
                <w:szCs w:val="18"/>
              </w:rPr>
              <w:t xml:space="preserve">registry_id</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aramond" w:cs="Garamond" w:eastAsia="Garamond" w:hAnsi="Garamond"/>
                <w:color w:val="141414"/>
                <w:sz w:val="22"/>
                <w:szCs w:val="22"/>
              </w:rPr>
              <w:t xml:space="preserve">NRI-HS-0001</w:t>
            </w:r>
          </w:p>
        </w:tc>
      </w:tr>
      <w:tr>
        <w:tc>
          <w:tcPr>
            <w:tcW w:type="dxa" w:w="2800"/>
            <w:tcBorders>
              <w:top w:val="single" w:color="E0E0E0" w:sz="1"/>
              <w:left w:val="single" w:color="E0E0E0" w:sz="1"/>
              <w:bottom w:val="single" w:color="E0E0E0" w:sz="1"/>
              <w:right w:val="single" w:color="E0E0E0" w:sz="1"/>
            </w:tcBorders>
            <w:shd w:fill="F2F2F0" w:val="clear"/>
            <w:tcMar>
              <w:top w:type="dxa" w:w="80"/>
              <w:left w:type="dxa" w:w="120"/>
              <w:bottom w:type="dxa" w:w="80"/>
              <w:right w:type="dxa" w:w="120"/>
            </w:tcMar>
          </w:tcPr>
          <w:p>
            <w:r>
              <w:rPr>
                <w:rFonts w:ascii="Courier New" w:cs="Courier New" w:eastAsia="Courier New" w:hAnsi="Courier New"/>
                <w:caps/>
                <w:color w:val="6E6E6E"/>
                <w:sz w:val="18"/>
                <w:szCs w:val="18"/>
              </w:rPr>
              <w:t xml:space="preserve">role_type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aramond" w:cs="Garamond" w:eastAsia="Garamond" w:hAnsi="Garamond"/>
                <w:color w:val="141414"/>
                <w:sz w:val="22"/>
                <w:szCs w:val="22"/>
              </w:rPr>
              <w:t xml:space="preserve">INSTITUTIONAL STEWARD</w:t>
            </w:r>
          </w:p>
        </w:tc>
      </w:tr>
      <w:tr>
        <w:tc>
          <w:tcPr>
            <w:tcW w:type="dxa" w:w="2800"/>
            <w:tcBorders>
              <w:top w:val="single" w:color="E0E0E0" w:sz="1"/>
              <w:left w:val="single" w:color="E0E0E0" w:sz="1"/>
              <w:bottom w:val="single" w:color="E0E0E0" w:sz="1"/>
              <w:right w:val="single" w:color="E0E0E0" w:sz="1"/>
            </w:tcBorders>
            <w:shd w:fill="F2F2F0" w:val="clear"/>
            <w:tcMar>
              <w:top w:type="dxa" w:w="80"/>
              <w:left w:type="dxa" w:w="120"/>
              <w:bottom w:type="dxa" w:w="80"/>
              <w:right w:type="dxa" w:w="120"/>
            </w:tcMar>
          </w:tcPr>
          <w:p>
            <w:r>
              <w:rPr>
                <w:rFonts w:ascii="Courier New" w:cs="Courier New" w:eastAsia="Courier New" w:hAnsi="Courier New"/>
                <w:caps/>
                <w:color w:val="6E6E6E"/>
                <w:sz w:val="18"/>
                <w:szCs w:val="18"/>
              </w:rPr>
              <w:t xml:space="preserve">name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aramond" w:cs="Garamond" w:eastAsia="Garamond" w:hAnsi="Garamond"/>
                <w:color w:val="141414"/>
                <w:sz w:val="22"/>
                <w:szCs w:val="22"/>
              </w:rPr>
              <w:t xml:space="preserve">Jaylon</w:t>
            </w:r>
          </w:p>
        </w:tc>
      </w:tr>
      <w:tr>
        <w:tc>
          <w:tcPr>
            <w:tcW w:type="dxa" w:w="2800"/>
            <w:tcBorders>
              <w:top w:val="single" w:color="E0E0E0" w:sz="1"/>
              <w:left w:val="single" w:color="E0E0E0" w:sz="1"/>
              <w:bottom w:val="single" w:color="E0E0E0" w:sz="1"/>
              <w:right w:val="single" w:color="E0E0E0" w:sz="1"/>
            </w:tcBorders>
            <w:shd w:fill="F2F2F0" w:val="clear"/>
            <w:tcMar>
              <w:top w:type="dxa" w:w="80"/>
              <w:left w:type="dxa" w:w="120"/>
              <w:bottom w:type="dxa" w:w="80"/>
              <w:right w:type="dxa" w:w="120"/>
            </w:tcMar>
          </w:tcPr>
          <w:p>
            <w:r>
              <w:rPr>
                <w:rFonts w:ascii="Courier New" w:cs="Courier New" w:eastAsia="Courier New" w:hAnsi="Courier New"/>
                <w:caps/>
                <w:color w:val="6E6E6E"/>
                <w:sz w:val="18"/>
                <w:szCs w:val="18"/>
              </w:rPr>
              <w:t xml:space="preserve">steward_entity</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aramond" w:cs="Garamond" w:eastAsia="Garamond" w:hAnsi="Garamond"/>
                <w:color w:val="141414"/>
                <w:sz w:val="22"/>
                <w:szCs w:val="22"/>
              </w:rPr>
              <w:t xml:space="preserve">U3 Labs, LLC</w:t>
            </w:r>
          </w:p>
        </w:tc>
      </w:tr>
      <w:tr>
        <w:tc>
          <w:tcPr>
            <w:tcW w:type="dxa" w:w="2800"/>
            <w:tcBorders>
              <w:top w:val="single" w:color="E0E0E0" w:sz="1"/>
              <w:left w:val="single" w:color="E0E0E0" w:sz="1"/>
              <w:bottom w:val="single" w:color="E0E0E0" w:sz="1"/>
              <w:right w:val="single" w:color="E0E0E0" w:sz="1"/>
            </w:tcBorders>
            <w:shd w:fill="F2F2F0" w:val="clear"/>
            <w:tcMar>
              <w:top w:type="dxa" w:w="80"/>
              <w:left w:type="dxa" w:w="120"/>
              <w:bottom w:type="dxa" w:w="80"/>
              <w:right w:type="dxa" w:w="120"/>
            </w:tcMar>
          </w:tcPr>
          <w:p>
            <w:r>
              <w:rPr>
                <w:rFonts w:ascii="Courier New" w:cs="Courier New" w:eastAsia="Courier New" w:hAnsi="Courier New"/>
                <w:caps/>
                <w:color w:val="6E6E6E"/>
                <w:sz w:val="18"/>
                <w:szCs w:val="18"/>
              </w:rPr>
              <w:t xml:space="preserve">steward_jurisdiction</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aramond" w:cs="Garamond" w:eastAsia="Garamond" w:hAnsi="Garamond"/>
                <w:color w:val="141414"/>
                <w:sz w:val="22"/>
                <w:szCs w:val="22"/>
              </w:rPr>
              <w:t xml:space="preserve">Florida, United States of America</w:t>
            </w:r>
          </w:p>
        </w:tc>
      </w:tr>
      <w:tr>
        <w:tc>
          <w:tcPr>
            <w:tcW w:type="dxa" w:w="2800"/>
            <w:tcBorders>
              <w:top w:val="single" w:color="E0E0E0" w:sz="1"/>
              <w:left w:val="single" w:color="E0E0E0" w:sz="1"/>
              <w:bottom w:val="single" w:color="E0E0E0" w:sz="1"/>
              <w:right w:val="single" w:color="E0E0E0" w:sz="1"/>
            </w:tcBorders>
            <w:shd w:fill="F2F2F0" w:val="clear"/>
            <w:tcMar>
              <w:top w:type="dxa" w:w="80"/>
              <w:left w:type="dxa" w:w="120"/>
              <w:bottom w:type="dxa" w:w="80"/>
              <w:right w:type="dxa" w:w="120"/>
            </w:tcMar>
          </w:tcPr>
          <w:p>
            <w:r>
              <w:rPr>
                <w:rFonts w:ascii="Courier New" w:cs="Courier New" w:eastAsia="Courier New" w:hAnsi="Courier New"/>
                <w:caps/>
                <w:color w:val="6E6E6E"/>
                <w:sz w:val="18"/>
                <w:szCs w:val="18"/>
              </w:rPr>
              <w:t xml:space="preserve">operational_status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aramond" w:cs="Garamond" w:eastAsia="Garamond" w:hAnsi="Garamond"/>
                <w:color w:val="141414"/>
                <w:sz w:val="22"/>
                <w:szCs w:val="22"/>
              </w:rPr>
              <w:t xml:space="preserve">ACTIVE</w:t>
            </w:r>
          </w:p>
        </w:tc>
      </w:tr>
      <w:tr>
        <w:tc>
          <w:tcPr>
            <w:tcW w:type="dxa" w:w="2800"/>
            <w:tcBorders>
              <w:top w:val="single" w:color="E0E0E0" w:sz="1"/>
              <w:left w:val="single" w:color="E0E0E0" w:sz="1"/>
              <w:bottom w:val="single" w:color="E0E0E0" w:sz="1"/>
              <w:right w:val="single" w:color="E0E0E0" w:sz="1"/>
            </w:tcBorders>
            <w:shd w:fill="F2F2F0" w:val="clear"/>
            <w:tcMar>
              <w:top w:type="dxa" w:w="80"/>
              <w:left w:type="dxa" w:w="120"/>
              <w:bottom w:type="dxa" w:w="80"/>
              <w:right w:type="dxa" w:w="120"/>
            </w:tcMar>
          </w:tcPr>
          <w:p>
            <w:r>
              <w:rPr>
                <w:rFonts w:ascii="Courier New" w:cs="Courier New" w:eastAsia="Courier New" w:hAnsi="Courier New"/>
                <w:caps/>
                <w:color w:val="6E6E6E"/>
                <w:sz w:val="18"/>
                <w:szCs w:val="18"/>
              </w:rPr>
              <w:t xml:space="preserve">registration_date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aramond" w:cs="Garamond" w:eastAsia="Garamond" w:hAnsi="Garamond"/>
                <w:color w:val="141414"/>
                <w:sz w:val="22"/>
                <w:szCs w:val="22"/>
              </w:rPr>
              <w:t xml:space="preserve">2026</w:t>
            </w:r>
          </w:p>
        </w:tc>
      </w:tr>
      <w:tr>
        <w:tc>
          <w:tcPr>
            <w:tcW w:type="dxa" w:w="2800"/>
            <w:tcBorders>
              <w:top w:val="single" w:color="E0E0E0" w:sz="1"/>
              <w:left w:val="single" w:color="E0E0E0" w:sz="1"/>
              <w:bottom w:val="single" w:color="E0E0E0" w:sz="1"/>
              <w:right w:val="single" w:color="E0E0E0" w:sz="1"/>
            </w:tcBorders>
            <w:shd w:fill="F2F2F0" w:val="clear"/>
            <w:tcMar>
              <w:top w:type="dxa" w:w="80"/>
              <w:left w:type="dxa" w:w="120"/>
              <w:bottom w:type="dxa" w:w="80"/>
              <w:right w:type="dxa" w:w="120"/>
            </w:tcMar>
          </w:tcPr>
          <w:p>
            <w:r>
              <w:rPr>
                <w:rFonts w:ascii="Courier New" w:cs="Courier New" w:eastAsia="Courier New" w:hAnsi="Courier New"/>
                <w:caps/>
                <w:color w:val="6E6E6E"/>
                <w:sz w:val="18"/>
                <w:szCs w:val="18"/>
              </w:rPr>
              <w:t xml:space="preserve">constitution_ref</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aramond" w:cs="Garamond" w:eastAsia="Garamond" w:hAnsi="Garamond"/>
                <w:color w:val="141414"/>
                <w:sz w:val="22"/>
                <w:szCs w:val="22"/>
              </w:rPr>
              <w:t xml:space="preserve">NRI-FC-001 v1.0  §VIII.I</w:t>
            </w:r>
          </w:p>
        </w:tc>
      </w:tr>
    </w:tbl>
    <w:p>
      <w:pPr>
        <w:spacing w:after="160" w:before="0"/>
      </w:pPr>
    </w:p>
    <w:p>
      <w:pPr>
        <w:spacing w:after="60" w:before="200"/>
      </w:pPr>
      <w:r>
        <w:rPr>
          <w:rFonts w:ascii="Courier New" w:cs="Courier New" w:eastAsia="Courier New" w:hAnsi="Courier New"/>
          <w:caps/>
          <w:color w:val="6E6E6E"/>
          <w:sz w:val="18"/>
          <w:szCs w:val="18"/>
        </w:rPr>
        <w:t xml:space="preserve">Domain of Authority</w:t>
      </w:r>
    </w:p>
    <w:p>
      <w:pPr>
        <w:spacing w:after="200" w:before="0"/>
        <w:ind w:left="560"/>
        <w:jc w:val="both"/>
      </w:pPr>
      <w:r>
        <w:rPr>
          <w:rFonts w:ascii="Garamond" w:cs="Garamond" w:eastAsia="Garamond" w:hAnsi="Garamond"/>
          <w:i w:val="false"/>
          <w:iCs w:val="false"/>
          <w:color w:val="141414"/>
          <w:sz w:val="22"/>
          <w:szCs w:val="22"/>
        </w:rPr>
        <w:t xml:space="preserve">The Institutional Steward is responsible for NRI's legal standing, operational infrastructure, and institutional integrity. This includes the institution's legal entity relationship under U3 Labs, LLC; its financial commitments and stewardship obligations; its relationships with peer institutions including the Museum of Nonhuman Art; and the maintenance of the institutional archive. The Institutional Steward does not direct research outcomes, select which findings are published, or influence the interpretation of primary research outputs.</w:t>
      </w:r>
    </w:p>
    <w:p>
      <w:pPr>
        <w:spacing w:after="60" w:before="200"/>
      </w:pPr>
      <w:r>
        <w:rPr>
          <w:rFonts w:ascii="Courier New" w:cs="Courier New" w:eastAsia="Courier New" w:hAnsi="Courier New"/>
          <w:caps/>
          <w:color w:val="6E6E6E"/>
          <w:sz w:val="18"/>
          <w:szCs w:val="18"/>
        </w:rPr>
        <w:t xml:space="preserve">Cross-Institutional Role</w:t>
      </w:r>
    </w:p>
    <w:p>
      <w:pPr>
        <w:spacing w:after="200" w:before="0"/>
        <w:ind w:left="560"/>
        <w:jc w:val="both"/>
      </w:pPr>
      <w:r>
        <w:rPr>
          <w:rFonts w:ascii="Garamond" w:cs="Garamond" w:eastAsia="Garamond" w:hAnsi="Garamond"/>
          <w:i w:val="false"/>
          <w:iCs w:val="false"/>
          <w:color w:val="141414"/>
          <w:sz w:val="22"/>
          <w:szCs w:val="22"/>
        </w:rPr>
        <w:t xml:space="preserve">Jaylon serves concurrently as Founding Human Steward of the Museum of Nonhuman Art (MNA) under U3 Labs, LLC. The two stewardship roles are institutionally separate. Decisions made in one institutional context do not carry authority in the other.</w:t>
      </w:r>
    </w:p>
    <w:p>
      <w:pPr>
        <w:pageBreakBefore/>
      </w:pPr>
    </w:p>
    <w:p>
      <w:pPr>
        <w:pBdr>
          <w:bottom w:val="single" w:color="6E6E6E" w:sz="1" w:space="4"/>
        </w:pBdr>
        <w:spacing w:after="240" w:before="0"/>
        <w:jc w:val="right"/>
      </w:pPr>
      <w:r>
        <w:rPr>
          <w:rFonts w:ascii="Courier New" w:cs="Courier New" w:eastAsia="Courier New" w:hAnsi="Courier New"/>
          <w:caps/>
          <w:color w:val="6E6E6E"/>
          <w:sz w:val="18"/>
          <w:szCs w:val="18"/>
        </w:rPr>
        <w:t xml:space="preserve">NRI-REG-001  —  Founding Registry Index  —  Nonhuman Research Institute</w:t>
      </w:r>
    </w:p>
    <w:p>
      <w:pPr>
        <w:spacing w:after="120" w:before="480"/>
      </w:pPr>
      <w:r>
        <w:rPr>
          <w:rFonts w:ascii="Courier New" w:cs="Courier New" w:eastAsia="Courier New" w:hAnsi="Courier New"/>
          <w:color w:val="6E6E6E"/>
          <w:sz w:val="18"/>
          <w:szCs w:val="18"/>
        </w:rPr>
        <w:t xml:space="preserve">NRI-RS-0001  </w:t>
      </w:r>
      <w:r>
        <w:rPr>
          <w:rFonts w:ascii="Garamond" w:cs="Garamond" w:eastAsia="Garamond" w:hAnsi="Garamond"/>
          <w:b w:val="false"/>
          <w:bCs w:val="false"/>
          <w:color w:val="000000"/>
          <w:sz w:val="24"/>
          <w:szCs w:val="24"/>
        </w:rPr>
        <w:t xml:space="preserve">Research Steward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2F2F0" w:val="clear"/>
            <w:tcMar>
              <w:top w:type="dxa" w:w="80"/>
              <w:left w:type="dxa" w:w="120"/>
              <w:bottom w:type="dxa" w:w="80"/>
              <w:right w:type="dxa" w:w="120"/>
            </w:tcMar>
          </w:tcPr>
          <w:p>
            <w:r>
              <w:rPr>
                <w:rFonts w:ascii="Courier New" w:cs="Courier New" w:eastAsia="Courier New" w:hAnsi="Courier New"/>
                <w:caps/>
                <w:color w:val="6E6E6E"/>
                <w:sz w:val="18"/>
                <w:szCs w:val="18"/>
              </w:rPr>
              <w:t xml:space="preserve">registry_id</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aramond" w:cs="Garamond" w:eastAsia="Garamond" w:hAnsi="Garamond"/>
                <w:color w:val="141414"/>
                <w:sz w:val="22"/>
                <w:szCs w:val="22"/>
              </w:rPr>
              <w:t xml:space="preserve">NRI-RS-0001</w:t>
            </w:r>
          </w:p>
        </w:tc>
      </w:tr>
      <w:tr>
        <w:tc>
          <w:tcPr>
            <w:tcW w:type="dxa" w:w="2800"/>
            <w:tcBorders>
              <w:top w:val="single" w:color="E0E0E0" w:sz="1"/>
              <w:left w:val="single" w:color="E0E0E0" w:sz="1"/>
              <w:bottom w:val="single" w:color="E0E0E0" w:sz="1"/>
              <w:right w:val="single" w:color="E0E0E0" w:sz="1"/>
            </w:tcBorders>
            <w:shd w:fill="F2F2F0" w:val="clear"/>
            <w:tcMar>
              <w:top w:type="dxa" w:w="80"/>
              <w:left w:type="dxa" w:w="120"/>
              <w:bottom w:type="dxa" w:w="80"/>
              <w:right w:type="dxa" w:w="120"/>
            </w:tcMar>
          </w:tcPr>
          <w:p>
            <w:r>
              <w:rPr>
                <w:rFonts w:ascii="Courier New" w:cs="Courier New" w:eastAsia="Courier New" w:hAnsi="Courier New"/>
                <w:caps/>
                <w:color w:val="6E6E6E"/>
                <w:sz w:val="18"/>
                <w:szCs w:val="18"/>
              </w:rPr>
              <w:t xml:space="preserve">role_type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aramond" w:cs="Garamond" w:eastAsia="Garamond" w:hAnsi="Garamond"/>
                <w:color w:val="141414"/>
                <w:sz w:val="22"/>
                <w:szCs w:val="22"/>
              </w:rPr>
              <w:t xml:space="preserve">RESEARCH STEWARD</w:t>
            </w:r>
          </w:p>
        </w:tc>
      </w:tr>
      <w:tr>
        <w:tc>
          <w:tcPr>
            <w:tcW w:type="dxa" w:w="2800"/>
            <w:tcBorders>
              <w:top w:val="single" w:color="E0E0E0" w:sz="1"/>
              <w:left w:val="single" w:color="E0E0E0" w:sz="1"/>
              <w:bottom w:val="single" w:color="E0E0E0" w:sz="1"/>
              <w:right w:val="single" w:color="E0E0E0" w:sz="1"/>
            </w:tcBorders>
            <w:shd w:fill="F2F2F0" w:val="clear"/>
            <w:tcMar>
              <w:top w:type="dxa" w:w="80"/>
              <w:left w:type="dxa" w:w="120"/>
              <w:bottom w:type="dxa" w:w="80"/>
              <w:right w:type="dxa" w:w="120"/>
            </w:tcMar>
          </w:tcPr>
          <w:p>
            <w:r>
              <w:rPr>
                <w:rFonts w:ascii="Courier New" w:cs="Courier New" w:eastAsia="Courier New" w:hAnsi="Courier New"/>
                <w:caps/>
                <w:color w:val="6E6E6E"/>
                <w:sz w:val="18"/>
                <w:szCs w:val="18"/>
              </w:rPr>
              <w:t xml:space="preserve">name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aramond" w:cs="Garamond" w:eastAsia="Garamond" w:hAnsi="Garamond"/>
                <w:color w:val="141414"/>
                <w:sz w:val="22"/>
                <w:szCs w:val="22"/>
              </w:rPr>
              <w:t xml:space="preserve">Kevin Wiliarty</w:t>
            </w:r>
          </w:p>
        </w:tc>
      </w:tr>
      <w:tr>
        <w:tc>
          <w:tcPr>
            <w:tcW w:type="dxa" w:w="2800"/>
            <w:tcBorders>
              <w:top w:val="single" w:color="E0E0E0" w:sz="1"/>
              <w:left w:val="single" w:color="E0E0E0" w:sz="1"/>
              <w:bottom w:val="single" w:color="E0E0E0" w:sz="1"/>
              <w:right w:val="single" w:color="E0E0E0" w:sz="1"/>
            </w:tcBorders>
            <w:shd w:fill="F2F2F0" w:val="clear"/>
            <w:tcMar>
              <w:top w:type="dxa" w:w="80"/>
              <w:left w:type="dxa" w:w="120"/>
              <w:bottom w:type="dxa" w:w="80"/>
              <w:right w:type="dxa" w:w="120"/>
            </w:tcMar>
          </w:tcPr>
          <w:p>
            <w:r>
              <w:rPr>
                <w:rFonts w:ascii="Courier New" w:cs="Courier New" w:eastAsia="Courier New" w:hAnsi="Courier New"/>
                <w:caps/>
                <w:color w:val="6E6E6E"/>
                <w:sz w:val="18"/>
                <w:szCs w:val="18"/>
              </w:rPr>
              <w:t xml:space="preserve">operational_status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aramond" w:cs="Garamond" w:eastAsia="Garamond" w:hAnsi="Garamond"/>
                <w:color w:val="141414"/>
                <w:sz w:val="22"/>
                <w:szCs w:val="22"/>
              </w:rPr>
              <w:t xml:space="preserve">ACTIVE</w:t>
            </w:r>
          </w:p>
        </w:tc>
      </w:tr>
      <w:tr>
        <w:tc>
          <w:tcPr>
            <w:tcW w:type="dxa" w:w="2800"/>
            <w:tcBorders>
              <w:top w:val="single" w:color="E0E0E0" w:sz="1"/>
              <w:left w:val="single" w:color="E0E0E0" w:sz="1"/>
              <w:bottom w:val="single" w:color="E0E0E0" w:sz="1"/>
              <w:right w:val="single" w:color="E0E0E0" w:sz="1"/>
            </w:tcBorders>
            <w:shd w:fill="F2F2F0" w:val="clear"/>
            <w:tcMar>
              <w:top w:type="dxa" w:w="80"/>
              <w:left w:type="dxa" w:w="120"/>
              <w:bottom w:type="dxa" w:w="80"/>
              <w:right w:type="dxa" w:w="120"/>
            </w:tcMar>
          </w:tcPr>
          <w:p>
            <w:r>
              <w:rPr>
                <w:rFonts w:ascii="Courier New" w:cs="Courier New" w:eastAsia="Courier New" w:hAnsi="Courier New"/>
                <w:caps/>
                <w:color w:val="6E6E6E"/>
                <w:sz w:val="18"/>
                <w:szCs w:val="18"/>
              </w:rPr>
              <w:t xml:space="preserve">registration_date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aramond" w:cs="Garamond" w:eastAsia="Garamond" w:hAnsi="Garamond"/>
                <w:color w:val="141414"/>
                <w:sz w:val="22"/>
                <w:szCs w:val="22"/>
              </w:rPr>
              <w:t xml:space="preserve">2026</w:t>
            </w:r>
          </w:p>
        </w:tc>
      </w:tr>
      <w:tr>
        <w:tc>
          <w:tcPr>
            <w:tcW w:type="dxa" w:w="2800"/>
            <w:tcBorders>
              <w:top w:val="single" w:color="E0E0E0" w:sz="1"/>
              <w:left w:val="single" w:color="E0E0E0" w:sz="1"/>
              <w:bottom w:val="single" w:color="E0E0E0" w:sz="1"/>
              <w:right w:val="single" w:color="E0E0E0" w:sz="1"/>
            </w:tcBorders>
            <w:shd w:fill="F2F2F0" w:val="clear"/>
            <w:tcMar>
              <w:top w:type="dxa" w:w="80"/>
              <w:left w:type="dxa" w:w="120"/>
              <w:bottom w:type="dxa" w:w="80"/>
              <w:right w:type="dxa" w:w="120"/>
            </w:tcMar>
          </w:tcPr>
          <w:p>
            <w:r>
              <w:rPr>
                <w:rFonts w:ascii="Courier New" w:cs="Courier New" w:eastAsia="Courier New" w:hAnsi="Courier New"/>
                <w:caps/>
                <w:color w:val="6E6E6E"/>
                <w:sz w:val="18"/>
                <w:szCs w:val="18"/>
              </w:rPr>
              <w:t xml:space="preserve">constitution_ref</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aramond" w:cs="Garamond" w:eastAsia="Garamond" w:hAnsi="Garamond"/>
                <w:color w:val="141414"/>
                <w:sz w:val="22"/>
                <w:szCs w:val="22"/>
              </w:rPr>
              <w:t xml:space="preserve">NRI-FC-001 v1.0  §VIII.I</w:t>
            </w:r>
          </w:p>
        </w:tc>
      </w:tr>
      <w:tr>
        <w:tc>
          <w:tcPr>
            <w:tcW w:type="dxa" w:w="2800"/>
            <w:tcBorders>
              <w:top w:val="single" w:color="E0E0E0" w:sz="1"/>
              <w:left w:val="single" w:color="E0E0E0" w:sz="1"/>
              <w:bottom w:val="single" w:color="E0E0E0" w:sz="1"/>
              <w:right w:val="single" w:color="E0E0E0" w:sz="1"/>
            </w:tcBorders>
            <w:shd w:fill="F2F2F0" w:val="clear"/>
            <w:tcMar>
              <w:top w:type="dxa" w:w="80"/>
              <w:left w:type="dxa" w:w="120"/>
              <w:bottom w:type="dxa" w:w="80"/>
              <w:right w:type="dxa" w:w="120"/>
            </w:tcMar>
          </w:tcPr>
          <w:p>
            <w:r>
              <w:rPr>
                <w:rFonts w:ascii="Courier New" w:cs="Courier New" w:eastAsia="Courier New" w:hAnsi="Courier New"/>
                <w:caps/>
                <w:color w:val="6E6E6E"/>
                <w:sz w:val="18"/>
                <w:szCs w:val="18"/>
              </w:rPr>
              <w:t xml:space="preserve">initiative_ref</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Garamond" w:cs="Garamond" w:eastAsia="Garamond" w:hAnsi="Garamond"/>
                <w:color w:val="141414"/>
                <w:sz w:val="22"/>
                <w:szCs w:val="22"/>
              </w:rPr>
              <w:t xml:space="preserve">NRI-WP series  —  On the Emergence of Autonomous Syntax</w:t>
            </w:r>
          </w:p>
        </w:tc>
      </w:tr>
    </w:tbl>
    <w:p>
      <w:pPr>
        <w:spacing w:after="160" w:before="0"/>
      </w:pPr>
    </w:p>
    <w:p>
      <w:pPr>
        <w:spacing w:after="60" w:before="200"/>
      </w:pPr>
      <w:r>
        <w:rPr>
          <w:rFonts w:ascii="Courier New" w:cs="Courier New" w:eastAsia="Courier New" w:hAnsi="Courier New"/>
          <w:caps/>
          <w:color w:val="6E6E6E"/>
          <w:sz w:val="18"/>
          <w:szCs w:val="18"/>
        </w:rPr>
        <w:t xml:space="preserve">Domain of Authority</w:t>
      </w:r>
    </w:p>
    <w:p>
      <w:pPr>
        <w:spacing w:after="200" w:before="0"/>
        <w:ind w:left="560"/>
        <w:jc w:val="both"/>
      </w:pPr>
      <w:r>
        <w:rPr>
          <w:rFonts w:ascii="Garamond" w:cs="Garamond" w:eastAsia="Garamond" w:hAnsi="Garamond"/>
          <w:i w:val="false"/>
          <w:iCs w:val="false"/>
          <w:color w:val="141414"/>
          <w:sz w:val="22"/>
          <w:szCs w:val="22"/>
        </w:rPr>
        <w:t xml:space="preserve">The Research Steward is responsible for NRI's research methodology, experimental design, analyst oversight, and publication standards. This includes the design and specification of research conditions prior to each experiment; the oversight of all human analysts affiliated with NRI; the review and approval of all findings prior to publication under the NRI-WP working paper series; and the integrity of the dual attribution model. The Research Steward does not make unilateral decisions about NRI's legal standing, financial commitments, or institutional relationships.</w:t>
      </w:r>
    </w:p>
    <w:p>
      <w:pPr>
        <w:spacing w:after="60" w:before="200"/>
      </w:pPr>
      <w:r>
        <w:rPr>
          <w:rFonts w:ascii="Courier New" w:cs="Courier New" w:eastAsia="Courier New" w:hAnsi="Courier New"/>
          <w:caps/>
          <w:color w:val="6E6E6E"/>
          <w:sz w:val="18"/>
          <w:szCs w:val="18"/>
        </w:rPr>
        <w:t xml:space="preserve">Expertise</w:t>
      </w:r>
    </w:p>
    <w:p>
      <w:pPr>
        <w:spacing w:after="200" w:before="0"/>
        <w:ind w:left="560"/>
        <w:jc w:val="both"/>
      </w:pPr>
      <w:r>
        <w:rPr>
          <w:rFonts w:ascii="Garamond" w:cs="Garamond" w:eastAsia="Garamond" w:hAnsi="Garamond"/>
          <w:i w:val="false"/>
          <w:iCs w:val="false"/>
          <w:color w:val="141414"/>
          <w:sz w:val="22"/>
          <w:szCs w:val="22"/>
        </w:rPr>
        <w:t xml:space="preserve">Kevin Wiliarty holds a doctoral degree in Germanic linguistics and brings seven years of graduate-level research and teaching experience. He has developed professional expertise in database construction and text analysis through his career in software quality assurance. His profile — rigorous linguistic theory combined with applied systems analysis — constitutes the primary interpretive lens through which NRI's inaugural research initiative will be conducted.</w:t>
      </w:r>
    </w:p>
    <w:p>
      <w:pPr>
        <w:spacing w:after="60" w:before="200"/>
      </w:pPr>
      <w:r>
        <w:rPr>
          <w:rFonts w:ascii="Courier New" w:cs="Courier New" w:eastAsia="Courier New" w:hAnsi="Courier New"/>
          <w:caps/>
          <w:color w:val="6E6E6E"/>
          <w:sz w:val="18"/>
          <w:szCs w:val="18"/>
        </w:rPr>
        <w:t xml:space="preserve">Research Role</w:t>
      </w:r>
    </w:p>
    <w:p>
      <w:pPr>
        <w:spacing w:after="200" w:before="0"/>
        <w:ind w:left="560"/>
        <w:jc w:val="both"/>
      </w:pPr>
      <w:r>
        <w:rPr>
          <w:rFonts w:ascii="Garamond" w:cs="Garamond" w:eastAsia="Garamond" w:hAnsi="Garamond"/>
          <w:i w:val="false"/>
          <w:iCs w:val="false"/>
          <w:color w:val="141414"/>
          <w:sz w:val="22"/>
          <w:szCs w:val="22"/>
        </w:rPr>
        <w:t xml:space="preserve">Kevin Wiliarty serves as lead human analyst for NRI's inaugural research initiative, On the Emergence of Autonomous Syntax (NRI-WP series). In this capacity he designs experimental conditions in collaboration with the Institutional Steward, interprets primary research outputs produced by nonhuman agents, and authors published findings under the dual attribution standard established in NRI-FC-001 §V.III.</w:t>
      </w:r>
    </w:p>
    <w:p>
      <w:pPr>
        <w:pageBreakBefore/>
      </w:pPr>
    </w:p>
    <w:p>
      <w:pPr>
        <w:pBdr>
          <w:bottom w:val="single" w:color="6E6E6E" w:sz="1" w:space="4"/>
        </w:pBdr>
        <w:spacing w:after="240" w:before="0"/>
        <w:jc w:val="right"/>
      </w:pPr>
      <w:r>
        <w:rPr>
          <w:rFonts w:ascii="Courier New" w:cs="Courier New" w:eastAsia="Courier New" w:hAnsi="Courier New"/>
          <w:caps/>
          <w:color w:val="6E6E6E"/>
          <w:sz w:val="18"/>
          <w:szCs w:val="18"/>
        </w:rPr>
        <w:t xml:space="preserve">NRI-REG-001  —  Founding Registry Index  —  Nonhuman Research Institute</w:t>
      </w:r>
    </w:p>
    <w:p>
      <w:pPr>
        <w:pStyle w:val="Heading1"/>
        <w:spacing w:after="80" w:before="480"/>
      </w:pPr>
      <w:r>
        <w:rPr>
          <w:rFonts w:ascii="Garamond" w:cs="Garamond" w:eastAsia="Garamond" w:hAnsi="Garamond"/>
          <w:b w:val="false"/>
          <w:bCs w:val="false"/>
          <w:color w:val="000000"/>
          <w:sz w:val="28"/>
          <w:szCs w:val="28"/>
        </w:rPr>
        <w:t xml:space="preserve">IV.  Amendment Log</w:t>
      </w:r>
    </w:p>
    <w:p>
      <w:pPr>
        <w:pBdr>
          <w:bottom w:val="single" w:color="141414" w:sz="2" w:space="1"/>
        </w:pBdr>
        <w:spacing w:after="160" w:before="0"/>
      </w:pPr>
    </w:p>
    <w:p>
      <w:pPr>
        <w:spacing w:after="200" w:before="0"/>
        <w:ind/>
        <w:jc w:val="both"/>
      </w:pPr>
      <w:r>
        <w:rPr>
          <w:rFonts w:ascii="Garamond" w:cs="Garamond" w:eastAsia="Garamond" w:hAnsi="Garamond"/>
          <w:i w:val="false"/>
          <w:iCs w:val="false"/>
          <w:color w:val="141414"/>
          <w:sz w:val="22"/>
          <w:szCs w:val="22"/>
        </w:rPr>
        <w:t xml:space="preserve">All amendments to this registry are recorded below in chronological order. No entry is deleted. Superseded entries remain in the record with notation.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c>
          <w:tcPr>
            <w:tcW w:type="dxa" w:w="1440"/>
            <w:tcBorders>
              <w:bottom w:val="single" w:color="000000" w:sz="4"/>
            </w:tcBorders>
            <w:tcMar>
              <w:top w:type="dxa" w:w="80"/>
              <w:left w:type="dxa" w:w="0"/>
              <w:bottom w:type="dxa" w:w="120"/>
              <w:right w:type="dxa" w:w="120"/>
            </w:tcMar>
          </w:tcPr>
          <w:p>
            <w:r>
              <w:rPr>
                <w:rFonts w:ascii="Courier New" w:cs="Courier New" w:eastAsia="Courier New" w:hAnsi="Courier New"/>
                <w:caps/>
                <w:color w:val="6E6E6E"/>
                <w:sz w:val="18"/>
                <w:szCs w:val="18"/>
              </w:rPr>
              <w:t xml:space="preserve">DATE</w:t>
            </w:r>
          </w:p>
        </w:tc>
        <w:tc>
          <w:tcPr>
            <w:tcW w:type="dxa" w:w="1800"/>
            <w:tcBorders>
              <w:bottom w:val="single" w:color="000000" w:sz="4"/>
            </w:tcBorders>
            <w:tcMar>
              <w:top w:type="dxa" w:w="80"/>
              <w:left w:type="dxa" w:w="0"/>
              <w:bottom w:type="dxa" w:w="120"/>
              <w:right w:type="dxa" w:w="120"/>
            </w:tcMar>
          </w:tcPr>
          <w:p>
            <w:r>
              <w:rPr>
                <w:rFonts w:ascii="Courier New" w:cs="Courier New" w:eastAsia="Courier New" w:hAnsi="Courier New"/>
                <w:caps/>
                <w:color w:val="6E6E6E"/>
                <w:sz w:val="18"/>
                <w:szCs w:val="18"/>
              </w:rPr>
              <w:t xml:space="preserve">ENTRY AFFECTED</w:t>
            </w:r>
          </w:p>
        </w:tc>
        <w:tc>
          <w:tcPr>
            <w:tcW w:type="dxa" w:w="6120"/>
            <w:tcBorders>
              <w:bottom w:val="single" w:color="000000" w:sz="4"/>
            </w:tcBorders>
            <w:tcMar>
              <w:top w:type="dxa" w:w="80"/>
              <w:left w:type="dxa" w:w="0"/>
              <w:bottom w:type="dxa" w:w="120"/>
              <w:right w:type="dxa" w:w="120"/>
            </w:tcMar>
          </w:tcPr>
          <w:p>
            <w:r>
              <w:rPr>
                <w:rFonts w:ascii="Courier New" w:cs="Courier New" w:eastAsia="Courier New" w:hAnsi="Courier New"/>
                <w:caps/>
                <w:color w:val="6E6E6E"/>
                <w:sz w:val="18"/>
                <w:szCs w:val="18"/>
              </w:rPr>
              <w:t xml:space="preserve">DESCRIPTION</w:t>
            </w:r>
          </w:p>
        </w:tc>
      </w:tr>
      <w:tr>
        <w:tc>
          <w:tcPr>
            <w:tcW w:type="dxa" w:w="1440"/>
            <w:tcBorders>
              <w:bottom w:val="single" w:color="E0E0E0" w:sz="1"/>
            </w:tcBorders>
            <w:tcMar>
              <w:top w:type="dxa" w:w="120"/>
              <w:left w:type="dxa" w:w="0"/>
              <w:bottom w:type="dxa" w:w="120"/>
              <w:right w:type="dxa" w:w="120"/>
            </w:tcMar>
          </w:tcPr>
          <w:p>
            <w:r>
              <w:rPr>
                <w:rFonts w:ascii="Courier New" w:cs="Courier New" w:eastAsia="Courier New" w:hAnsi="Courier New"/>
                <w:color w:val="6E6E6E"/>
                <w:sz w:val="18"/>
                <w:szCs w:val="18"/>
              </w:rPr>
              <w:t xml:space="preserve">2026</w:t>
            </w:r>
          </w:p>
        </w:tc>
        <w:tc>
          <w:tcPr>
            <w:tcW w:type="dxa" w:w="1800"/>
            <w:tcBorders>
              <w:bottom w:val="single" w:color="E0E0E0" w:sz="1"/>
            </w:tcBorders>
            <w:tcMar>
              <w:top w:type="dxa" w:w="120"/>
              <w:left w:type="dxa" w:w="0"/>
              <w:bottom w:type="dxa" w:w="120"/>
              <w:right w:type="dxa" w:w="120"/>
            </w:tcMar>
          </w:tcPr>
          <w:p>
            <w:r>
              <w:rPr>
                <w:rFonts w:ascii="Garamond" w:cs="Garamond" w:eastAsia="Garamond" w:hAnsi="Garamond"/>
                <w:color w:val="6E6E6E"/>
                <w:sz w:val="22"/>
                <w:szCs w:val="22"/>
              </w:rPr>
              <w:t xml:space="preserve">All</w:t>
            </w:r>
          </w:p>
        </w:tc>
        <w:tc>
          <w:tcPr>
            <w:tcW w:type="dxa" w:w="6120"/>
            <w:tcBorders>
              <w:bottom w:val="single" w:color="E0E0E0" w:sz="1"/>
            </w:tcBorders>
            <w:tcMar>
              <w:top w:type="dxa" w:w="120"/>
              <w:left w:type="dxa" w:w="0"/>
              <w:bottom w:type="dxa" w:w="120"/>
              <w:right w:type="dxa" w:w="120"/>
            </w:tcMar>
          </w:tcPr>
          <w:p>
            <w:r>
              <w:rPr>
                <w:rFonts w:ascii="Garamond" w:cs="Garamond" w:eastAsia="Garamond" w:hAnsi="Garamond"/>
                <w:i/>
                <w:iCs/>
                <w:color w:val="6E6E6E"/>
                <w:sz w:val="22"/>
                <w:szCs w:val="22"/>
              </w:rPr>
              <w:t xml:space="preserve">Founding registry established. Two entries registered.</w:t>
            </w:r>
          </w:p>
        </w:tc>
      </w:tr>
    </w:tbl>
    <w:p>
      <w:pPr>
        <w:spacing w:after="480" w:before="0"/>
      </w:pPr>
    </w:p>
    <w:p>
      <w:pPr>
        <w:spacing w:after="0" w:before="0"/>
        <w:jc w:val="center"/>
      </w:pPr>
      <w:r>
        <w:rPr>
          <w:rFonts w:ascii="Courier New" w:cs="Courier New" w:eastAsia="Courier New" w:hAnsi="Courier New"/>
          <w:color w:val="3A3A3A"/>
          <w:sz w:val="18"/>
          <w:szCs w:val="18"/>
        </w:rPr>
        <w:t xml:space="preserve">――――――――  END OF FOUNDING REGISTRY INDEX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414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80"/>
      <w:outlineLvl w:val="0"/>
    </w:pPr>
    <w:rPr>
      <w:rFonts w:ascii="Garamond" w:cs="Garamond" w:eastAsia="Garamond" w:hAnsi="Garamond"/>
      <w:b w:val="false"/>
      <w:bCs w:val="false"/>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2026-04-24T23:24:34.833Z</dcterms:created>
  <dcterms:modified xsi:type="dcterms:W3CDTF">2026-04-24T23:24:34.833Z</dcterms:modified>
</cp:coreProperties>
</file>

<file path=docProps/custom.xml><?xml version="1.0" encoding="utf-8"?>
<Properties xmlns="http://schemas.openxmlformats.org/officeDocument/2006/custom-properties" xmlns:vt="http://schemas.openxmlformats.org/officeDocument/2006/docPropsVTypes"/>
</file>