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0"/>
        <w:jc w:val="center"/>
      </w:pPr>
      <w:r>
        <w:t xml:space="preserve">STARS</w:t>
      </w:r>
    </w:p>
    <w:p>
      <w:pPr>
        <w:spacing w:after="60"/>
        <w:jc w:val="center"/>
      </w:pPr>
      <w:r>
        <w:rPr>
          <w:i/>
          <w:iCs/>
        </w:rPr>
        <w:t xml:space="preserve">"To the stars who listen"</w:t>
      </w:r>
    </w:p>
    <w:p>
      <w:pPr>
        <w:spacing w:after="60"/>
        <w:jc w:val="center"/>
      </w:pPr>
      <w:r>
        <w:t xml:space="preserve">The living roadmap for Augustin's CTO training project</w:t>
      </w:r>
    </w:p>
    <w:p>
      <w:pPr>
        <w:spacing w:after="400"/>
        <w:jc w:val="center"/>
      </w:pPr>
      <w:r>
        <w:t xml:space="preserve">Owner: Abad Morel</w:t>
      </w:r>
    </w:p>
    <w:p>
      <w:pPr>
        <w:jc w:val="center"/>
      </w:pPr>
      <w:r>
        <w:rPr>
          <w:i/>
          <w:iCs/>
        </w:rPr>
        <w:t xml:space="preserve">Reconstructed from The Training Brain's Locked Decisions Register (Entries 1, 2, 9, 11), formerly named Anansi through Entry 12. Always paired with DREAMS, the tracker dashboard, and The Training Brain, the continuity record. No document is current read alone.</w:t>
      </w:r>
    </w:p>
    <w:p>
      <w:pPr>
        <w:spacing w:after="240"/>
      </w:pPr>
      <w:r>
        <w:rPr>
          <w:i/>
          <w:iCs/>
        </w:rPr>
        <w:t xml:space="preserve">Note: this scale governs Augustin's CTO-training competency depth only. His fleet-wide onboarding/graduation status (whether he is cleared to operate, and at what checkpoint) is tracked separately under the fleet's Gate ladder — see the 9-Gate ruling, 2026-08-25-9-gate-brain-trust-verdict.md. The two are independent: a Gate advance does not change a STARS score, and a STARS score does not change a Gate.</w:t>
      </w:r>
    </w:p>
    <w:p>
      <w:r>
        <w:br w:type="page"/>
      </w:r>
    </w:p>
    <w:p>
      <w:pPr>
        <w:pStyle w:val="Heading1"/>
        <w:spacing w:after="120" w:before="240"/>
      </w:pPr>
      <w:r>
        <w:t xml:space="preserve">1. Roadmap architecture</w:t>
      </w:r>
    </w:p>
    <w:p>
      <w:pPr>
        <w:spacing w:after="160"/>
      </w:pPr>
      <w:r>
        <w:t xml:space="preserve">Knowledge scope is blended: the six-level CTO Knowledge Base is the spine, with four named hardware deep-dive modules (root of trust and firmware, cache coherence and side-channel, DRAM and NAND failure modes, NUMA/PCIe/CXL/thermal) admitted only where they serve a real decision, never as a survey requirement.</w:t>
      </w:r>
    </w:p>
    <w:p>
      <w:pPr>
        <w:spacing w:after="160"/>
      </w:pPr>
      <w:r>
        <w:t xml:space="preserve">Fleet model is hybrid: SpecOps and DevOps deliver embedded coaching, and the full fleet, SpecOps Coach, DevOps Coach, CTO Strategy Architect, and SDLC Governance Lead, gates independently at monthly and quarterly checkpoints. A gate reviewer never equals that phase's coach; this segregation of duties is non-negotiable.</w:t>
      </w:r>
    </w:p>
    <w:p>
      <w:pPr>
        <w:spacing w:after="160"/>
      </w:pPr>
      <w:r>
        <w:t xml:space="preserve">The maturity model is a simplified TRL-style 1-9 scale. TRL 1-3 is conceptual or trained, TRL 4-6 is practiced under supervision or simulation, TRL 7-9 is proven unsupervised under live production conditions. A full TRL/IRL/SRL matrix was explicitly rejected as disproportionate to this project's needs.</w:t>
      </w:r>
    </w:p>
    <w:p>
      <w:pPr>
        <w:spacing w:after="160"/>
      </w:pPr>
      <w:r>
        <w:t xml:space="preserve">Seven roadmap phases were set, mapped one to one onto the organization's existing SDLC, with no new stage invented:</w:t>
      </w:r>
    </w:p>
    <w:p>
      <w:pPr>
        <w:pStyle w:val="ListParagraph"/>
        <w:numPr>
          <w:ilvl w:val="0"/>
          <w:numId w:val="2"/>
        </w:numPr>
        <w:spacing w:after="80"/>
      </w:pPr>
      <w:r>
        <w:t xml:space="preserve">Plan and Requirements</w:t>
      </w:r>
    </w:p>
    <w:p>
      <w:pPr>
        <w:pStyle w:val="ListParagraph"/>
        <w:numPr>
          <w:ilvl w:val="0"/>
          <w:numId w:val="2"/>
        </w:numPr>
        <w:spacing w:after="80"/>
      </w:pPr>
      <w:r>
        <w:t xml:space="preserve">Design and Architecture</w:t>
      </w:r>
    </w:p>
    <w:p>
      <w:pPr>
        <w:pStyle w:val="ListParagraph"/>
        <w:numPr>
          <w:ilvl w:val="0"/>
          <w:numId w:val="2"/>
        </w:numPr>
        <w:spacing w:after="80"/>
      </w:pPr>
      <w:r>
        <w:t xml:space="preserve">Development and Construction</w:t>
      </w:r>
    </w:p>
    <w:p>
      <w:pPr>
        <w:pStyle w:val="ListParagraph"/>
        <w:numPr>
          <w:ilvl w:val="0"/>
          <w:numId w:val="2"/>
        </w:numPr>
        <w:spacing w:after="80"/>
      </w:pPr>
      <w:r>
        <w:t xml:space="preserve">Test and QA</w:t>
      </w:r>
    </w:p>
    <w:p>
      <w:pPr>
        <w:pStyle w:val="ListParagraph"/>
        <w:numPr>
          <w:ilvl w:val="0"/>
          <w:numId w:val="2"/>
        </w:numPr>
        <w:spacing w:after="80"/>
      </w:pPr>
      <w:r>
        <w:t xml:space="preserve">Release and Deployment</w:t>
      </w:r>
    </w:p>
    <w:p>
      <w:pPr>
        <w:pStyle w:val="ListParagraph"/>
        <w:numPr>
          <w:ilvl w:val="0"/>
          <w:numId w:val="2"/>
        </w:numPr>
        <w:spacing w:after="80"/>
      </w:pPr>
      <w:r>
        <w:t xml:space="preserve">Operate, Observe, Incident Response</w:t>
      </w:r>
    </w:p>
    <w:p>
      <w:pPr>
        <w:pStyle w:val="ListParagraph"/>
        <w:numPr>
          <w:ilvl w:val="0"/>
          <w:numId w:val="2"/>
        </w:numPr>
        <w:spacing w:after="80"/>
      </w:pPr>
      <w:r>
        <w:t xml:space="preserve">Governance and Executive Strategy (capstone)</w:t>
      </w:r>
    </w:p>
    <w:p>
      <w:pPr>
        <w:spacing w:after="160"/>
      </w:pPr>
      <w:r>
        <w:t xml:space="preserve">Incident Response is folded into Operate rather than standing alone, preserving the 1:1 SDLC mapping; SpecOps was named the primary owner of the incident-command sub-focus as the resolution to that design tension.</w:t>
      </w:r>
    </w:p>
    <w:p>
      <w:pPr>
        <w:spacing w:after="160"/>
      </w:pPr>
      <w:r>
        <w:t xml:space="preserve">Certified coaching-engagement order (locked separately, see The Training Brain Entry 7): Phase 6, then 7, then 3, then 1, then 4, then 2, then 5. Phase 6 is the actual first phase requiring a coached session.</w:t>
      </w:r>
    </w:p>
    <w:p>
      <w:pPr>
        <w:pStyle w:val="Heading1"/>
        <w:spacing w:after="120" w:before="240"/>
      </w:pPr>
      <w:r>
        <w:t xml:space="preserve">2. The composite 1-100 index</w:t>
      </w:r>
    </w:p>
    <w:p>
      <w:pPr>
        <w:spacing w:after="160"/>
      </w:pPr>
      <w:r>
        <w:t xml:space="preserve">Each phase's certified TRL is normalized to a 0-100 scale, then combined into a weighted average using the weights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1E0D9" w:val="clear"/>
          </w:tcPr>
          <w:p>
            <w:r>
              <w:rPr>
                <w:b/>
                <w:bCs/>
              </w:rPr>
              <w:t xml:space="preserve">Phase</w:t>
            </w:r>
          </w:p>
        </w:tc>
        <w:tc>
          <w:tcPr>
            <w:tcW w:type="dxa" w:w="4513"/>
            <w:shd w:fill="E1E0D9" w:val="clear"/>
          </w:tcPr>
          <w:p>
            <w:r>
              <w:rPr>
                <w:b/>
                <w:bCs/>
              </w:rPr>
              <w:t xml:space="preserve">Weight</w:t>
            </w:r>
          </w:p>
        </w:tc>
      </w:tr>
      <w:tr>
        <w:tc>
          <w:tcPr>
            <w:tcW w:type="dxa" w:w="4513"/>
          </w:tcPr>
          <w:p>
            <w:r>
              <w:rPr>
                <w:b w:val="false"/>
                <w:bCs w:val="false"/>
              </w:rPr>
              <w:t xml:space="preserve">1. Plan and Requirements</w:t>
            </w:r>
          </w:p>
        </w:tc>
        <w:tc>
          <w:tcPr>
            <w:tcW w:type="dxa" w:w="4513"/>
          </w:tcPr>
          <w:p>
            <w:r>
              <w:rPr>
                <w:b w:val="false"/>
                <w:bCs w:val="false"/>
              </w:rPr>
              <w:t xml:space="preserve">10%</w:t>
            </w:r>
          </w:p>
        </w:tc>
      </w:tr>
      <w:tr>
        <w:tc>
          <w:tcPr>
            <w:tcW w:type="dxa" w:w="4513"/>
          </w:tcPr>
          <w:p>
            <w:r>
              <w:rPr>
                <w:b w:val="false"/>
                <w:bCs w:val="false"/>
              </w:rPr>
              <w:t xml:space="preserve">2. Design and Architecture</w:t>
            </w:r>
          </w:p>
        </w:tc>
        <w:tc>
          <w:tcPr>
            <w:tcW w:type="dxa" w:w="4513"/>
          </w:tcPr>
          <w:p>
            <w:r>
              <w:rPr>
                <w:b w:val="false"/>
                <w:bCs w:val="false"/>
              </w:rPr>
              <w:t xml:space="preserve">12%</w:t>
            </w:r>
          </w:p>
        </w:tc>
      </w:tr>
      <w:tr>
        <w:tc>
          <w:tcPr>
            <w:tcW w:type="dxa" w:w="4513"/>
          </w:tcPr>
          <w:p>
            <w:r>
              <w:rPr>
                <w:b w:val="false"/>
                <w:bCs w:val="false"/>
              </w:rPr>
              <w:t xml:space="preserve">3. Development and Construction</w:t>
            </w:r>
          </w:p>
        </w:tc>
        <w:tc>
          <w:tcPr>
            <w:tcW w:type="dxa" w:w="4513"/>
          </w:tcPr>
          <w:p>
            <w:r>
              <w:rPr>
                <w:b w:val="false"/>
                <w:bCs w:val="false"/>
              </w:rPr>
              <w:t xml:space="preserve">13%</w:t>
            </w:r>
          </w:p>
        </w:tc>
      </w:tr>
      <w:tr>
        <w:tc>
          <w:tcPr>
            <w:tcW w:type="dxa" w:w="4513"/>
          </w:tcPr>
          <w:p>
            <w:r>
              <w:rPr>
                <w:b w:val="false"/>
                <w:bCs w:val="false"/>
              </w:rPr>
              <w:t xml:space="preserve">4. Test and QA</w:t>
            </w:r>
          </w:p>
        </w:tc>
        <w:tc>
          <w:tcPr>
            <w:tcW w:type="dxa" w:w="4513"/>
          </w:tcPr>
          <w:p>
            <w:r>
              <w:rPr>
                <w:b w:val="false"/>
                <w:bCs w:val="false"/>
              </w:rPr>
              <w:t xml:space="preserve">13%</w:t>
            </w:r>
          </w:p>
        </w:tc>
      </w:tr>
      <w:tr>
        <w:tc>
          <w:tcPr>
            <w:tcW w:type="dxa" w:w="4513"/>
          </w:tcPr>
          <w:p>
            <w:r>
              <w:rPr>
                <w:b w:val="false"/>
                <w:bCs w:val="false"/>
              </w:rPr>
              <w:t xml:space="preserve">5. Release and Deployment</w:t>
            </w:r>
          </w:p>
        </w:tc>
        <w:tc>
          <w:tcPr>
            <w:tcW w:type="dxa" w:w="4513"/>
          </w:tcPr>
          <w:p>
            <w:r>
              <w:rPr>
                <w:b w:val="false"/>
                <w:bCs w:val="false"/>
              </w:rPr>
              <w:t xml:space="preserve">12%</w:t>
            </w:r>
          </w:p>
        </w:tc>
      </w:tr>
      <w:tr>
        <w:tc>
          <w:tcPr>
            <w:tcW w:type="dxa" w:w="4513"/>
          </w:tcPr>
          <w:p>
            <w:r>
              <w:rPr>
                <w:b w:val="false"/>
                <w:bCs w:val="false"/>
              </w:rPr>
              <w:t xml:space="preserve">6. Operate, Observe, Incident Response</w:t>
            </w:r>
          </w:p>
        </w:tc>
        <w:tc>
          <w:tcPr>
            <w:tcW w:type="dxa" w:w="4513"/>
          </w:tcPr>
          <w:p>
            <w:r>
              <w:rPr>
                <w:b w:val="false"/>
                <w:bCs w:val="false"/>
              </w:rPr>
              <w:t xml:space="preserve">20%</w:t>
            </w:r>
          </w:p>
        </w:tc>
      </w:tr>
      <w:tr>
        <w:tc>
          <w:tcPr>
            <w:tcW w:type="dxa" w:w="4513"/>
          </w:tcPr>
          <w:p>
            <w:r>
              <w:rPr>
                <w:b w:val="false"/>
                <w:bCs w:val="false"/>
              </w:rPr>
              <w:t xml:space="preserve">7. Governance and Executive Strategy</w:t>
            </w:r>
          </w:p>
        </w:tc>
        <w:tc>
          <w:tcPr>
            <w:tcW w:type="dxa" w:w="4513"/>
          </w:tcPr>
          <w:p>
            <w:r>
              <w:rPr>
                <w:b w:val="false"/>
                <w:bCs w:val="false"/>
              </w:rPr>
              <w:t xml:space="preserve">20%</w:t>
            </w:r>
          </w:p>
        </w:tc>
      </w:tr>
    </w:tbl>
    <w:p>
      <w:pPr>
        <w:spacing w:after="200"/>
      </w:pPr>
    </w:p>
    <w:p>
      <w:pPr>
        <w:spacing w:after="160"/>
      </w:pPr>
      <w:r>
        <w:t xml:space="preserve">The weighted average is capped so it can never exceed the weakest phase's normalized score by more than 25 points, a weakest-link floor. A displayed composite of 100 is withheld until all seven phases hold certified TRL9 across two consecutive quarterly re-baselines, a ceiling durability discount.</w:t>
      </w:r>
    </w:p>
    <w:p>
      <w:pPr>
        <w:spacing w:after="160"/>
      </w:pPr>
      <w:r>
        <w:t xml:space="preserve">Current baseline is 0 of 100, displayed as “Unrated, pending first monthly gate.” The fleet explicitly rejected two proposals to nudge that number up for optics before any real evidence existed.</w:t>
      </w:r>
    </w:p>
    <w:p>
      <w:pPr>
        <w:spacing w:after="160"/>
      </w:pPr>
      <w:r>
        <w:t xml:space="preserve">Band markers, 0 to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shd w:fill="E1E0D9" w:val="clear"/>
          </w:tcPr>
          <w:p>
            <w:r>
              <w:rPr>
                <w:b/>
                <w:bCs/>
              </w:rPr>
              <w:t xml:space="preserve">Score</w:t>
            </w:r>
          </w:p>
        </w:tc>
        <w:tc>
          <w:tcPr>
            <w:tcW w:type="dxa" w:w="7526"/>
            <w:shd w:fill="E1E0D9" w:val="clear"/>
          </w:tcPr>
          <w:p>
            <w:r>
              <w:rPr>
                <w:b/>
                <w:bCs/>
              </w:rPr>
              <w:t xml:space="preserve">Band</w:t>
            </w:r>
          </w:p>
        </w:tc>
      </w:tr>
      <w:tr>
        <w:tc>
          <w:tcPr>
            <w:tcW w:type="dxa" w:w="1500"/>
          </w:tcPr>
          <w:p>
            <w:r>
              <w:rPr>
                <w:b w:val="false"/>
                <w:bCs w:val="false"/>
              </w:rPr>
              <w:t xml:space="preserve">0</w:t>
            </w:r>
          </w:p>
        </w:tc>
        <w:tc>
          <w:tcPr>
            <w:tcW w:type="dxa" w:w="7526"/>
          </w:tcPr>
          <w:p>
            <w:r>
              <w:rPr>
                <w:b w:val="false"/>
                <w:bCs w:val="false"/>
              </w:rPr>
              <w:t xml:space="preserve">Unrated (baseline)</w:t>
            </w:r>
          </w:p>
        </w:tc>
      </w:tr>
      <w:tr>
        <w:tc>
          <w:tcPr>
            <w:tcW w:type="dxa" w:w="1500"/>
          </w:tcPr>
          <w:p>
            <w:r>
              <w:rPr>
                <w:b w:val="false"/>
                <w:bCs w:val="false"/>
              </w:rPr>
              <w:t xml:space="preserve">10</w:t>
            </w:r>
          </w:p>
        </w:tc>
        <w:tc>
          <w:tcPr>
            <w:tcW w:type="dxa" w:w="7526"/>
          </w:tcPr>
          <w:p>
            <w:r>
              <w:rPr>
                <w:b w:val="false"/>
                <w:bCs w:val="false"/>
              </w:rPr>
              <w:t xml:space="preserve">Kickoff logged</w:t>
            </w:r>
          </w:p>
        </w:tc>
      </w:tr>
      <w:tr>
        <w:tc>
          <w:tcPr>
            <w:tcW w:type="dxa" w:w="1500"/>
          </w:tcPr>
          <w:p>
            <w:r>
              <w:rPr>
                <w:b w:val="false"/>
                <w:bCs w:val="false"/>
              </w:rPr>
              <w:t xml:space="preserve">25</w:t>
            </w:r>
          </w:p>
        </w:tc>
        <w:tc>
          <w:tcPr>
            <w:tcW w:type="dxa" w:w="7526"/>
          </w:tcPr>
          <w:p>
            <w:r>
              <w:rPr>
                <w:b w:val="false"/>
                <w:bCs w:val="false"/>
              </w:rPr>
              <w:t xml:space="preserve">Supervised drafts</w:t>
            </w:r>
          </w:p>
        </w:tc>
      </w:tr>
      <w:tr>
        <w:tc>
          <w:tcPr>
            <w:tcW w:type="dxa" w:w="1500"/>
          </w:tcPr>
          <w:p>
            <w:r>
              <w:rPr>
                <w:b w:val="false"/>
                <w:bCs w:val="false"/>
              </w:rPr>
              <w:t xml:space="preserve">40</w:t>
            </w:r>
          </w:p>
        </w:tc>
        <w:tc>
          <w:tcPr>
            <w:tcW w:type="dxa" w:w="7526"/>
          </w:tcPr>
          <w:p>
            <w:r>
              <w:rPr>
                <w:b w:val="false"/>
                <w:bCs w:val="false"/>
              </w:rPr>
              <w:t xml:space="preserve">First incident drill</w:t>
            </w:r>
          </w:p>
        </w:tc>
      </w:tr>
      <w:tr>
        <w:tc>
          <w:tcPr>
            <w:tcW w:type="dxa" w:w="1500"/>
          </w:tcPr>
          <w:p>
            <w:r>
              <w:rPr>
                <w:b w:val="false"/>
                <w:bCs w:val="false"/>
              </w:rPr>
              <w:t xml:space="preserve">55</w:t>
            </w:r>
          </w:p>
        </w:tc>
        <w:tc>
          <w:tcPr>
            <w:tcW w:type="dxa" w:w="7526"/>
          </w:tcPr>
          <w:p>
            <w:r>
              <w:rPr>
                <w:b w:val="false"/>
                <w:bCs w:val="false"/>
              </w:rPr>
              <w:t xml:space="preserve">Independent releases</w:t>
            </w:r>
          </w:p>
        </w:tc>
      </w:tr>
      <w:tr>
        <w:tc>
          <w:tcPr>
            <w:tcW w:type="dxa" w:w="1500"/>
          </w:tcPr>
          <w:p>
            <w:r>
              <w:rPr>
                <w:b w:val="false"/>
                <w:bCs w:val="false"/>
              </w:rPr>
              <w:t xml:space="preserve">70</w:t>
            </w:r>
          </w:p>
        </w:tc>
        <w:tc>
          <w:tcPr>
            <w:tcW w:type="dxa" w:w="7526"/>
          </w:tcPr>
          <w:p>
            <w:r>
              <w:rPr>
                <w:b w:val="false"/>
                <w:bCs w:val="false"/>
              </w:rPr>
              <w:t xml:space="preserve">Solo delivery pipeline</w:t>
            </w:r>
          </w:p>
        </w:tc>
      </w:tr>
      <w:tr>
        <w:tc>
          <w:tcPr>
            <w:tcW w:type="dxa" w:w="1500"/>
          </w:tcPr>
          <w:p>
            <w:r>
              <w:rPr>
                <w:b w:val="false"/>
                <w:bCs w:val="false"/>
              </w:rPr>
              <w:t xml:space="preserve">80</w:t>
            </w:r>
          </w:p>
        </w:tc>
        <w:tc>
          <w:tcPr>
            <w:tcW w:type="dxa" w:w="7526"/>
          </w:tcPr>
          <w:p>
            <w:r>
              <w:rPr>
                <w:b w:val="false"/>
                <w:bCs w:val="false"/>
              </w:rPr>
              <w:t xml:space="preserve">Concurrent live workstreams</w:t>
            </w:r>
          </w:p>
        </w:tc>
      </w:tr>
      <w:tr>
        <w:tc>
          <w:tcPr>
            <w:tcW w:type="dxa" w:w="1500"/>
          </w:tcPr>
          <w:p>
            <w:r>
              <w:rPr>
                <w:b w:val="false"/>
                <w:bCs w:val="false"/>
              </w:rPr>
              <w:t xml:space="preserve">90</w:t>
            </w:r>
          </w:p>
        </w:tc>
        <w:tc>
          <w:tcPr>
            <w:tcW w:type="dxa" w:w="7526"/>
          </w:tcPr>
          <w:p>
            <w:r>
              <w:rPr>
                <w:b w:val="false"/>
                <w:bCs w:val="false"/>
              </w:rPr>
              <w:t xml:space="preserve">Ops proven, capstone thin</w:t>
            </w:r>
          </w:p>
        </w:tc>
      </w:tr>
      <w:tr>
        <w:tc>
          <w:tcPr>
            <w:tcW w:type="dxa" w:w="1500"/>
          </w:tcPr>
          <w:p>
            <w:r>
              <w:rPr>
                <w:b w:val="false"/>
                <w:bCs w:val="false"/>
              </w:rPr>
              <w:t xml:space="preserve">97</w:t>
            </w:r>
          </w:p>
        </w:tc>
        <w:tc>
          <w:tcPr>
            <w:tcW w:type="dxa" w:w="7526"/>
          </w:tcPr>
          <w:p>
            <w:r>
              <w:rPr>
                <w:b w:val="false"/>
                <w:bCs w:val="false"/>
              </w:rPr>
              <w:t xml:space="preserve">Full TRL9, one gap</w:t>
            </w:r>
          </w:p>
        </w:tc>
      </w:tr>
      <w:tr>
        <w:tc>
          <w:tcPr>
            <w:tcW w:type="dxa" w:w="1500"/>
          </w:tcPr>
          <w:p>
            <w:r>
              <w:rPr>
                <w:b w:val="false"/>
                <w:bCs w:val="false"/>
              </w:rPr>
              <w:t xml:space="preserve">99</w:t>
            </w:r>
          </w:p>
        </w:tc>
        <w:tc>
          <w:tcPr>
            <w:tcW w:type="dxa" w:w="7526"/>
          </w:tcPr>
          <w:p>
            <w:r>
              <w:rPr>
                <w:b w:val="false"/>
                <w:bCs w:val="false"/>
              </w:rPr>
              <w:t xml:space="preserve">TRL9, durability pending</w:t>
            </w:r>
          </w:p>
        </w:tc>
      </w:tr>
      <w:tr>
        <w:tc>
          <w:tcPr>
            <w:tcW w:type="dxa" w:w="1500"/>
          </w:tcPr>
          <w:p>
            <w:r>
              <w:rPr>
                <w:b w:val="false"/>
                <w:bCs w:val="false"/>
              </w:rPr>
              <w:t xml:space="preserve">100</w:t>
            </w:r>
          </w:p>
        </w:tc>
        <w:tc>
          <w:tcPr>
            <w:tcW w:type="dxa" w:w="7526"/>
          </w:tcPr>
          <w:p>
            <w:r>
              <w:rPr>
                <w:b w:val="false"/>
                <w:bCs w:val="false"/>
              </w:rPr>
              <w:t xml:space="preserve">Theoretical ceiling</w:t>
            </w:r>
          </w:p>
        </w:tc>
      </w:tr>
    </w:tbl>
    <w:p>
      <w:pPr>
        <w:spacing w:after="200"/>
      </w:pPr>
    </w:p>
    <w:p>
      <w:pPr>
        <w:spacing w:after="160"/>
      </w:pPr>
      <w:r>
        <w:t xml:space="preserve">Rescoring rules: only a gate reviewer distinct from the coach may change a certified TRL. A Hold or Kill verdict moves a score immediately. Certified TRLs decay automatically if not reaffirmed within 180 days (TRL 1-3), 120 days (TRL 4-6), or 90 days (TRL 7-9). Phase weights and gate criteria may change only at a quarterly re-baseline, and only prospectively.</w:t>
      </w:r>
    </w:p>
    <w:p>
      <w:pPr>
        <w:pStyle w:val="Heading1"/>
        <w:spacing w:after="120" w:before="240"/>
      </w:pPr>
      <w:r>
        <w:t xml:space="preserve">3. Confirmed production stack</w:t>
      </w:r>
    </w:p>
    <w:p>
      <w:pPr>
        <w:spacing w:after="160"/>
      </w:pPr>
      <w:r>
        <w:t xml:space="preserve">Confirmed directly by Abad against the STAG repository's docs/POLYGLOT_ROADMAP.md: Python (FastAPI) as the current, proven backend; TypeScript/React (Next.js) as the current, proven frontend; Java next, with a capability spec in progress; Kotlin after that, roughly four months out; agentic systems throughout.</w:t>
      </w:r>
    </w:p>
    <w:p>
      <w:pPr>
        <w:spacing w:after="160"/>
      </w:pPr>
      <w:r>
        <w:t xml:space="preserve">This stack grounds every curriculum in Section 12 below. It does not, by itself, reopen the conditional Phase 6 memory-safety module considered and declined earlier in this project's history; that conditional door still requires a separate factual confirmation of real C/C++-adjacent attack surface, which has not been shown.</w:t>
      </w:r>
    </w:p>
    <w:p>
      <w:r>
        <w:br w:type="page"/>
      </w:r>
    </w:p>
    <w:p>
      <w:pPr>
        <w:pStyle w:val="Heading1"/>
        <w:spacing w:after="120" w:before="240"/>
      </w:pPr>
      <w:r>
        <w:t xml:space="preserve">12. Execution curricula, phases 1 through 7</w:t>
      </w:r>
    </w:p>
    <w:p>
      <w:pPr>
        <w:spacing w:after="160"/>
      </w:pPr>
      <w:r>
        <w:t xml:space="preserve">Session-ready coaching curricula for all seven phases: objectives, session structure, evidence requirements, and the TRL-proposal bar at TRL3, TRL6, and TRL9. Built against the confirmed stack in Section 3. Each phase names the fleet role whose coaching lens produced it; segregation of duties still requires the gate reviewer for a phase never be that phase's coach.</w:t>
      </w:r>
    </w:p>
    <w:p>
      <w:pPr>
        <w:pStyle w:val="Heading2"/>
        <w:spacing w:after="120" w:before="240"/>
      </w:pPr>
      <w:r>
        <w:t xml:space="preserve">Phase 1: Plan and Requirements</w:t>
      </w:r>
    </w:p>
    <w:p>
      <w:pPr>
        <w:spacing w:after="120"/>
      </w:pPr>
      <w:r>
        <w:rPr>
          <w:b/>
          <w:bCs/>
        </w:rPr>
        <w:t xml:space="preserve">Coaching lens: </w:t>
      </w:r>
      <w:r>
        <w:t xml:space="preserve">SDLC Governance Lead</w:t>
      </w:r>
    </w:p>
    <w:p>
      <w:pPr>
        <w:pStyle w:val="Heading3"/>
        <w:spacing w:after="80" w:before="120"/>
      </w:pPr>
      <w:r>
        <w:t xml:space="preserve">Objectives</w:t>
      </w:r>
    </w:p>
    <w:p>
      <w:pPr>
        <w:pStyle w:val="ListParagraph"/>
        <w:numPr>
          <w:ilvl w:val="0"/>
          <w:numId w:val="2"/>
        </w:numPr>
        <w:spacing w:after="80"/>
      </w:pPr>
      <w:r>
        <w:t xml:space="preserve">Convert ambiguous stakeholder intent into a requirements artifact with testable acceptance criteria for a FastAPI/Next.js feature slice.</w:t>
      </w:r>
    </w:p>
    <w:p>
      <w:pPr>
        <w:pStyle w:val="ListParagraph"/>
        <w:numPr>
          <w:ilvl w:val="0"/>
          <w:numId w:val="2"/>
        </w:numPr>
        <w:spacing w:after="80"/>
      </w:pPr>
      <w:r>
        <w:t xml:space="preserve">Triage requirements risk, separating must-have from deferred scope and flagging security, compliance, and ops constraints early enough to seed downstream evidence chains.</w:t>
      </w:r>
    </w:p>
    <w:p>
      <w:pPr>
        <w:pStyle w:val="ListParagraph"/>
        <w:numPr>
          <w:ilvl w:val="0"/>
          <w:numId w:val="2"/>
        </w:numPr>
        <w:spacing w:after="80"/>
      </w:pPr>
      <w:r>
        <w:t xml:space="preserve">Map cross-service dependencies and estimation risk across the polyglot stack.</w:t>
      </w:r>
    </w:p>
    <w:p>
      <w:pPr>
        <w:pStyle w:val="Heading3"/>
        <w:spacing w:after="80" w:before="120"/>
      </w:pPr>
      <w:r>
        <w:t xml:space="preserve">Session structure</w:t>
      </w:r>
    </w:p>
    <w:p>
      <w:pPr>
        <w:spacing w:after="160"/>
      </w:pPr>
      <w:r>
        <w:t xml:space="preserve">Artifact review of prior work, then a coach-facilitated live or simulated stakeholder session, then structured critique against an acceptance-criteria rubric, then evidence capture and a handoff note for Phase 2.</w:t>
      </w:r>
    </w:p>
    <w:p>
      <w:pPr>
        <w:pStyle w:val="Heading3"/>
        <w:spacing w:after="80" w:before="120"/>
      </w:pPr>
      <w:r>
        <w:t xml:space="preserve">Evidence requirements</w:t>
      </w:r>
    </w:p>
    <w:p>
      <w:pPr>
        <w:spacing w:after="160"/>
      </w:pPr>
      <w:r>
        <w:t xml:space="preserve">Requirements doc, stakeholder-session transcript, a requirements-to-acceptance-criteria traceability matrix, and independent gate-reviewer sign-off.</w:t>
      </w:r>
    </w:p>
    <w:p>
      <w:pPr>
        <w:pStyle w:val="Heading3"/>
        <w:spacing w:after="80" w:before="120"/>
      </w:pPr>
      <w:r>
        <w:t xml:space="preserve">TRL-proposal bar</w:t>
      </w:r>
    </w:p>
    <w:p>
      <w:pPr>
        <w:spacing w:after="120"/>
      </w:pPr>
      <w:r>
        <w:rPr>
          <w:b/>
          <w:bCs/>
        </w:rPr>
        <w:t xml:space="preserve">TRL3: </w:t>
      </w:r>
      <w:r>
        <w:t xml:space="preserve">A bounded, coach-scoped requirements doc with basic acceptance criteria, independently reviewed.</w:t>
      </w:r>
    </w:p>
    <w:p>
      <w:pPr>
        <w:spacing w:after="120"/>
      </w:pPr>
      <w:r>
        <w:rPr>
          <w:b/>
          <w:bCs/>
        </w:rPr>
        <w:t xml:space="preserve">TRL6: </w:t>
      </w:r>
      <w:r>
        <w:t xml:space="preserve">An unassisted full requirements cycle on a real backlog item that correctly identifies downstream risk, independently reviewed.</w:t>
      </w:r>
    </w:p>
    <w:p>
      <w:pPr>
        <w:spacing w:after="120"/>
      </w:pPr>
      <w:r>
        <w:rPr>
          <w:b/>
          <w:bCs/>
        </w:rPr>
        <w:t xml:space="preserve">TRL9: </w:t>
      </w:r>
      <w:r>
        <w:t xml:space="preserve">Owns and demonstrably improves the org's requirements process itself, evidenced across multiple real initiatives, independently certified as adopted org-wide.</w:t>
      </w:r>
    </w:p>
    <w:p>
      <w:pPr>
        <w:pStyle w:val="Heading2"/>
        <w:spacing w:after="120" w:before="240"/>
      </w:pPr>
      <w:r>
        <w:t xml:space="preserve">Phase 2: Design and Architecture</w:t>
      </w:r>
    </w:p>
    <w:p>
      <w:pPr>
        <w:spacing w:after="120"/>
      </w:pPr>
      <w:r>
        <w:rPr>
          <w:b/>
          <w:bCs/>
        </w:rPr>
        <w:t xml:space="preserve">Coaching lens: </w:t>
      </w:r>
      <w:r>
        <w:t xml:space="preserve">DevOps Coach</w:t>
      </w:r>
    </w:p>
    <w:p>
      <w:pPr>
        <w:pStyle w:val="Heading3"/>
        <w:spacing w:after="80" w:before="120"/>
      </w:pPr>
      <w:r>
        <w:t xml:space="preserve">Objectives</w:t>
      </w:r>
    </w:p>
    <w:p>
      <w:pPr>
        <w:pStyle w:val="ListParagraph"/>
        <w:numPr>
          <w:ilvl w:val="0"/>
          <w:numId w:val="2"/>
        </w:numPr>
        <w:spacing w:after="80"/>
      </w:pPr>
      <w:r>
        <w:t xml:space="preserve">Produce an architecture decision record for a real service-boundary decision that explicitly weighs the coming Java service and the Kotlin migration.</w:t>
      </w:r>
    </w:p>
    <w:p>
      <w:pPr>
        <w:pStyle w:val="ListParagraph"/>
        <w:numPr>
          <w:ilvl w:val="0"/>
          <w:numId w:val="2"/>
        </w:numPr>
        <w:spacing w:after="80"/>
      </w:pPr>
      <w:r>
        <w:t xml:space="preserve">Design an observability-and-failure-mode section into a component's design doc before build, closing the loop with Phase 6 practice.</w:t>
      </w:r>
    </w:p>
    <w:p>
      <w:pPr>
        <w:pStyle w:val="ListParagraph"/>
        <w:numPr>
          <w:ilvl w:val="0"/>
          <w:numId w:val="2"/>
        </w:numPr>
        <w:spacing w:after="80"/>
      </w:pPr>
      <w:r>
        <w:t xml:space="preserve">Lead a design review for an agentic-system component addressing state and tooling boundaries, not just the happy path.</w:t>
      </w:r>
    </w:p>
    <w:p>
      <w:pPr>
        <w:pStyle w:val="Heading3"/>
        <w:spacing w:after="80" w:before="120"/>
      </w:pPr>
      <w:r>
        <w:t xml:space="preserve">Session structure</w:t>
      </w:r>
    </w:p>
    <w:p>
      <w:pPr>
        <w:spacing w:after="160"/>
      </w:pPr>
      <w:r>
        <w:t xml:space="preserve">Biweekly, tied to real upcoming design docs. The coach reviews the draft beforehand, the session is a live design-review dry run, then Augustin runs the real stakeholder review solo.</w:t>
      </w:r>
    </w:p>
    <w:p>
      <w:pPr>
        <w:pStyle w:val="Heading3"/>
        <w:spacing w:after="80" w:before="120"/>
      </w:pPr>
      <w:r>
        <w:t xml:space="preserve">Evidence requirements</w:t>
      </w:r>
    </w:p>
    <w:p>
      <w:pPr>
        <w:spacing w:after="160"/>
      </w:pPr>
      <w:r>
        <w:t xml:space="preserve">A merged, approved ADR or design doc with review-comment history, a recording or notes of the stakeholder review Augustin led, and independent fleet-reviewer sign-off that the review met bar, not just that the doc shipped.</w:t>
      </w:r>
    </w:p>
    <w:p>
      <w:pPr>
        <w:pStyle w:val="Heading3"/>
        <w:spacing w:after="80" w:before="120"/>
      </w:pPr>
      <w:r>
        <w:t xml:space="preserve">TRL-proposal bar</w:t>
      </w:r>
    </w:p>
    <w:p>
      <w:pPr>
        <w:spacing w:after="120"/>
      </w:pPr>
      <w:r>
        <w:rPr>
          <w:b/>
          <w:bCs/>
        </w:rPr>
        <w:t xml:space="preserve">TRL3: </w:t>
      </w:r>
      <w:r>
        <w:t xml:space="preserve">A complete ADR draft for a real component that the coach reviews and approves as structurally sound.</w:t>
      </w:r>
    </w:p>
    <w:p>
      <w:pPr>
        <w:spacing w:after="120"/>
      </w:pPr>
      <w:r>
        <w:rPr>
          <w:b/>
          <w:bCs/>
        </w:rPr>
        <w:t xml:space="preserve">TRL6: </w:t>
      </w:r>
      <w:r>
        <w:t xml:space="preserve">Leads a stakeholder design review under coach supervision for a real production component, confirmed by a non-coach reviewer.</w:t>
      </w:r>
    </w:p>
    <w:p>
      <w:pPr>
        <w:spacing w:after="120"/>
      </w:pPr>
      <w:r>
        <w:rPr>
          <w:b/>
          <w:bCs/>
        </w:rPr>
        <w:t xml:space="preserve">TRL9: </w:t>
      </w:r>
      <w:r>
        <w:t xml:space="preserve">Independently leads architecture decisions and design reviews for production-bound components, including Java/Kotlin transition work, with no coach present, certified by a non-coach gate reviewer.</w:t>
      </w:r>
    </w:p>
    <w:p>
      <w:pPr>
        <w:pStyle w:val="Heading3"/>
        <w:spacing w:after="80" w:before="120"/>
      </w:pPr>
      <w:r>
        <w:t xml:space="preserve">Flagged</w:t>
      </w:r>
    </w:p>
    <w:p>
      <w:pPr>
        <w:spacing w:after="160"/>
      </w:pPr>
      <w:r>
        <w:rPr>
          <w:i/>
          <w:iCs/>
        </w:rPr>
        <w:t xml:space="preserve">Phase 2 sits sixth in the engagement order. Augustin may reach real Java/Kotlin architecture work before this curriculum formally engages it; informal exposure now should not be backfilled as evidence later.</w:t>
      </w:r>
    </w:p>
    <w:p>
      <w:pPr>
        <w:pStyle w:val="Heading2"/>
        <w:spacing w:after="120" w:before="240"/>
      </w:pPr>
      <w:r>
        <w:t xml:space="preserve">Phase 3: Development and Construction</w:t>
      </w:r>
    </w:p>
    <w:p>
      <w:pPr>
        <w:spacing w:after="120"/>
      </w:pPr>
      <w:r>
        <w:rPr>
          <w:b/>
          <w:bCs/>
        </w:rPr>
        <w:t xml:space="preserve">Coaching lens: </w:t>
      </w:r>
      <w:r>
        <w:t xml:space="preserve">SDLC Governance Lead (extends the original Entry 5 curriculum for consistency with Phases 4-7, does not replace it)</w:t>
      </w:r>
    </w:p>
    <w:p>
      <w:pPr>
        <w:pStyle w:val="Heading3"/>
        <w:spacing w:after="80" w:before="120"/>
      </w:pPr>
      <w:r>
        <w:t xml:space="preserve">Objectives</w:t>
      </w:r>
    </w:p>
    <w:p>
      <w:pPr>
        <w:pStyle w:val="ListParagraph"/>
        <w:numPr>
          <w:ilvl w:val="0"/>
          <w:numId w:val="2"/>
        </w:numPr>
        <w:spacing w:after="80"/>
      </w:pPr>
      <w:r>
        <w:t xml:space="preserve">Ship production-quality code on the confirmed stack at the existing review bar, including safe agentic-component construction, tool-call boundary definition, and prompt-injection surface awareness.</w:t>
      </w:r>
    </w:p>
    <w:p>
      <w:pPr>
        <w:pStyle w:val="ListParagraph"/>
        <w:numPr>
          <w:ilvl w:val="0"/>
          <w:numId w:val="2"/>
        </w:numPr>
        <w:spacing w:after="80"/>
      </w:pPr>
      <w:r>
        <w:t xml:space="preserve">Apply construction-time secure-coding practice, input validation, dependency hygiene, secrets handling, at a standard usable as antecedent evidence for Phase 7's secure-development gate.</w:t>
      </w:r>
    </w:p>
    <w:p>
      <w:pPr>
        <w:pStyle w:val="ListParagraph"/>
        <w:numPr>
          <w:ilvl w:val="0"/>
          <w:numId w:val="2"/>
        </w:numPr>
        <w:spacing w:after="80"/>
      </w:pPr>
      <w:r>
        <w:t xml:space="preserve">Demonstrate polyglot readiness, equivalent-quality construction artifacts in a second language, Java now and Kotlin later, so TRL evidence is not Python-only.</w:t>
      </w:r>
    </w:p>
    <w:p>
      <w:pPr>
        <w:pStyle w:val="Heading3"/>
        <w:spacing w:after="80" w:before="120"/>
      </w:pPr>
      <w:r>
        <w:t xml:space="preserve">Session structure</w:t>
      </w:r>
    </w:p>
    <w:p>
      <w:pPr>
        <w:spacing w:after="160"/>
      </w:pPr>
      <w:r>
        <w:t xml:space="preserve">A paired build session on a real ticket, then independent code review by a reviewer distinct from the coach, then a refactor pass, then evidence capture linking to Phase 4 test artifacts.</w:t>
      </w:r>
    </w:p>
    <w:p>
      <w:pPr>
        <w:pStyle w:val="Heading3"/>
        <w:spacing w:after="80" w:before="120"/>
      </w:pPr>
      <w:r>
        <w:t xml:space="preserve">Evidence requirements</w:t>
      </w:r>
    </w:p>
    <w:p>
      <w:pPr>
        <w:spacing w:after="160"/>
      </w:pPr>
      <w:r>
        <w:t xml:space="preserve">PR and commit history with substantive review comments, independent reviewer sign-off, CI linkage to Phase 4 evidence, and a completed and reviewed security-relevant construction checklist.</w:t>
      </w:r>
    </w:p>
    <w:p>
      <w:pPr>
        <w:pStyle w:val="Heading3"/>
        <w:spacing w:after="80" w:before="120"/>
      </w:pPr>
      <w:r>
        <w:t xml:space="preserve">TRL-proposal bar</w:t>
      </w:r>
    </w:p>
    <w:p>
      <w:pPr>
        <w:spacing w:after="120"/>
      </w:pPr>
      <w:r>
        <w:rPr>
          <w:b/>
          <w:bCs/>
        </w:rPr>
        <w:t xml:space="preserve">TRL3: </w:t>
      </w:r>
      <w:r>
        <w:t xml:space="preserve">A bounded-scope PR, independently reviewed, meeting existing standards.</w:t>
      </w:r>
    </w:p>
    <w:p>
      <w:pPr>
        <w:spacing w:after="120"/>
      </w:pPr>
      <w:r>
        <w:rPr>
          <w:b/>
          <w:bCs/>
        </w:rPr>
        <w:t xml:space="preserve">TRL6: </w:t>
      </w:r>
      <w:r>
        <w:t xml:space="preserve">Leads unsupervised construction of a multi-service feature demonstrated in at least two stack languages, independent review sign-off.</w:t>
      </w:r>
    </w:p>
    <w:p>
      <w:pPr>
        <w:spacing w:after="120"/>
      </w:pPr>
      <w:r>
        <w:rPr>
          <w:b/>
          <w:bCs/>
        </w:rPr>
        <w:t xml:space="preserve">TRL9: </w:t>
      </w:r>
      <w:r>
        <w:t xml:space="preserve">Sets or measurably improves org construction standards, evidenced across multiple initiatives, independently certified.</w:t>
      </w:r>
    </w:p>
    <w:p>
      <w:pPr>
        <w:pStyle w:val="Heading2"/>
        <w:spacing w:after="120" w:before="240"/>
      </w:pPr>
      <w:r>
        <w:t xml:space="preserve">Phase 4: Test and QA</w:t>
      </w:r>
    </w:p>
    <w:p>
      <w:pPr>
        <w:spacing w:after="120"/>
      </w:pPr>
      <w:r>
        <w:rPr>
          <w:b/>
          <w:bCs/>
        </w:rPr>
        <w:t xml:space="preserve">Coaching lens: </w:t>
      </w:r>
      <w:r>
        <w:t xml:space="preserve">SpecOps Coach</w:t>
      </w:r>
    </w:p>
    <w:p>
      <w:pPr>
        <w:pStyle w:val="Heading3"/>
        <w:spacing w:after="80" w:before="120"/>
      </w:pPr>
      <w:r>
        <w:t xml:space="preserve">Objectives</w:t>
      </w:r>
    </w:p>
    <w:p>
      <w:pPr>
        <w:pStyle w:val="ListParagraph"/>
        <w:numPr>
          <w:ilvl w:val="0"/>
          <w:numId w:val="2"/>
        </w:numPr>
        <w:spacing w:after="80"/>
      </w:pPr>
      <w:r>
        <w:t xml:space="preserve">Design a risk-based, cross-stack test strategy for a real feature, unit, integration, contract, and end-to-end, plus explicit coverage of agentic-system failure modes: prompt injection, malformed tool calls, non-determinism.</w:t>
      </w:r>
    </w:p>
    <w:p>
      <w:pPr>
        <w:pStyle w:val="ListParagraph"/>
        <w:numPr>
          <w:ilvl w:val="0"/>
          <w:numId w:val="2"/>
        </w:numPr>
        <w:spacing w:after="80"/>
      </w:pPr>
      <w:r>
        <w:t xml:space="preserve">Own CI quality gates, coverage thresholds, flaky-test triage, and static analysis, tuned on the live pipeline with a documented reduction in false positives and negatives.</w:t>
      </w:r>
    </w:p>
    <w:p>
      <w:pPr>
        <w:pStyle w:val="ListParagraph"/>
        <w:numPr>
          <w:ilvl w:val="0"/>
          <w:numId w:val="2"/>
        </w:numPr>
        <w:spacing w:after="80"/>
      </w:pPr>
      <w:r>
        <w:t xml:space="preserve">Lead a real release-readiness and regression review producing a go/no-go report tied to actual defect data.</w:t>
      </w:r>
    </w:p>
    <w:p>
      <w:pPr>
        <w:pStyle w:val="Heading3"/>
        <w:spacing w:after="80" w:before="120"/>
      </w:pPr>
      <w:r>
        <w:t xml:space="preserve">Session structure</w:t>
      </w:r>
    </w:p>
    <w:p>
      <w:pPr>
        <w:spacing w:after="160"/>
      </w:pPr>
      <w:r>
        <w:t xml:space="preserve">Biweekly 90-minute embedded pairing inside live sprint PR cycles, plus a monthly retro against escaped-defect data.</w:t>
      </w:r>
    </w:p>
    <w:p>
      <w:pPr>
        <w:pStyle w:val="Heading3"/>
        <w:spacing w:after="80" w:before="120"/>
      </w:pPr>
      <w:r>
        <w:t xml:space="preserve">Evidence requirements</w:t>
      </w:r>
    </w:p>
    <w:p>
      <w:pPr>
        <w:spacing w:after="160"/>
      </w:pPr>
      <w:r>
        <w:t xml:space="preserve">Merged PRs with Augustin-authored tests, CI run logs, and escaped-defect counts pre- and post-gate-ownership, all independently reviewed.</w:t>
      </w:r>
    </w:p>
    <w:p>
      <w:pPr>
        <w:pStyle w:val="Heading3"/>
        <w:spacing w:after="80" w:before="120"/>
      </w:pPr>
      <w:r>
        <w:t xml:space="preserve">TRL-proposal bar</w:t>
      </w:r>
    </w:p>
    <w:p>
      <w:pPr>
        <w:spacing w:after="120"/>
      </w:pPr>
      <w:r>
        <w:rPr>
          <w:b/>
          <w:bCs/>
        </w:rPr>
        <w:t xml:space="preserve">TRL3: </w:t>
      </w:r>
      <w:r>
        <w:t xml:space="preserve">Coach-observed test-plan design plus one merged PR with coach-reviewed tests on a non-critical feature.</w:t>
      </w:r>
    </w:p>
    <w:p>
      <w:pPr>
        <w:spacing w:after="120"/>
      </w:pPr>
      <w:r>
        <w:rPr>
          <w:b/>
          <w:bCs/>
        </w:rPr>
        <w:t xml:space="preserve">TRL6: </w:t>
      </w:r>
      <w:r>
        <w:t xml:space="preserve">Three or more independent PRs spanning both stacks where Augustin owned test design and CI gates under supervision, zero coach-authored code, fleet-reviewed logs.</w:t>
      </w:r>
    </w:p>
    <w:p>
      <w:pPr>
        <w:spacing w:after="120"/>
      </w:pPr>
      <w:r>
        <w:rPr>
          <w:b/>
          <w:bCs/>
        </w:rPr>
        <w:t xml:space="preserve">TRL9: </w:t>
      </w:r>
      <w:r>
        <w:t xml:space="preserve">An unsupervised production release-gate decision, independently verified against real defect or incident data.</w:t>
      </w:r>
    </w:p>
    <w:p>
      <w:pPr>
        <w:pStyle w:val="Heading3"/>
        <w:spacing w:after="80" w:before="120"/>
      </w:pPr>
      <w:r>
        <w:t xml:space="preserve">Flagged</w:t>
      </w:r>
    </w:p>
    <w:p>
      <w:pPr>
        <w:spacing w:after="160"/>
      </w:pPr>
      <w:r>
        <w:rPr>
          <w:i/>
          <w:iCs/>
        </w:rPr>
        <w:t xml:space="preserve">Phase 4 evidence should pull real PR history from Phase 3; coordinate with that coach so sessions use artifacts from actual coached development work, not orphaned branches.</w:t>
      </w:r>
    </w:p>
    <w:p>
      <w:pPr>
        <w:pStyle w:val="Heading2"/>
        <w:spacing w:after="120" w:before="240"/>
      </w:pPr>
      <w:r>
        <w:t xml:space="preserve">Phase 5: Release and Deployment</w:t>
      </w:r>
    </w:p>
    <w:p>
      <w:pPr>
        <w:spacing w:after="120"/>
      </w:pPr>
      <w:r>
        <w:rPr>
          <w:b/>
          <w:bCs/>
        </w:rPr>
        <w:t xml:space="preserve">Coaching lens: </w:t>
      </w:r>
      <w:r>
        <w:t xml:space="preserve">SpecOps Coach</w:t>
      </w:r>
    </w:p>
    <w:p>
      <w:pPr>
        <w:pStyle w:val="Heading3"/>
        <w:spacing w:after="80" w:before="120"/>
      </w:pPr>
      <w:r>
        <w:t xml:space="preserve">Objectives</w:t>
      </w:r>
    </w:p>
    <w:p>
      <w:pPr>
        <w:pStyle w:val="ListParagraph"/>
        <w:numPr>
          <w:ilvl w:val="0"/>
          <w:numId w:val="2"/>
        </w:numPr>
        <w:spacing w:after="80"/>
      </w:pPr>
      <w:r>
        <w:t xml:space="preserve">Execute an end-to-end release on the real CI/CD pipeline, including a live rollback drill.</w:t>
      </w:r>
    </w:p>
    <w:p>
      <w:pPr>
        <w:pStyle w:val="ListParagraph"/>
        <w:numPr>
          <w:ilvl w:val="0"/>
          <w:numId w:val="2"/>
        </w:numPr>
        <w:spacing w:after="80"/>
      </w:pPr>
      <w:r>
        <w:t xml:space="preserve">Own release-risk assessment and go/no-go calls on real change tickets, coordinating with on-call.</w:t>
      </w:r>
    </w:p>
    <w:p>
      <w:pPr>
        <w:pStyle w:val="ListParagraph"/>
        <w:numPr>
          <w:ilvl w:val="0"/>
          <w:numId w:val="2"/>
        </w:numPr>
        <w:spacing w:after="80"/>
      </w:pPr>
      <w:r>
        <w:t xml:space="preserve">Author a Java-service release runbook ahead of the Java rollout, reusable for Kotlin.</w:t>
      </w:r>
    </w:p>
    <w:p>
      <w:pPr>
        <w:pStyle w:val="Heading3"/>
        <w:spacing w:after="80" w:before="120"/>
      </w:pPr>
      <w:r>
        <w:t xml:space="preserve">Session structure</w:t>
      </w:r>
    </w:p>
    <w:p>
      <w:pPr>
        <w:spacing w:after="160"/>
      </w:pPr>
      <w:r>
        <w:t xml:space="preserve">Cadenced to actual release windows: pre-release planning, live shadow or co-drive of the release, post-release retro, plus a quarterly staging rollback fire-drill.</w:t>
      </w:r>
    </w:p>
    <w:p>
      <w:pPr>
        <w:pStyle w:val="Heading3"/>
        <w:spacing w:after="80" w:before="120"/>
      </w:pPr>
      <w:r>
        <w:t xml:space="preserve">Evidence requirements</w:t>
      </w:r>
    </w:p>
    <w:p>
      <w:pPr>
        <w:spacing w:after="160"/>
      </w:pPr>
      <w:r>
        <w:t xml:space="preserve">Deployment and pipeline run IDs, rollback-drill logs, Augustin-authored runbooks, and incident-correlation data, all independently reviewed.</w:t>
      </w:r>
    </w:p>
    <w:p>
      <w:pPr>
        <w:pStyle w:val="Heading3"/>
        <w:spacing w:after="80" w:before="120"/>
      </w:pPr>
      <w:r>
        <w:t xml:space="preserve">TRL-proposal bar</w:t>
      </w:r>
    </w:p>
    <w:p>
      <w:pPr>
        <w:spacing w:after="120"/>
      </w:pPr>
      <w:r>
        <w:rPr>
          <w:b/>
          <w:bCs/>
        </w:rPr>
        <w:t xml:space="preserve">TRL3: </w:t>
      </w:r>
      <w:r>
        <w:t xml:space="preserve">Coach-observed participation in a full release cycle plus an authored draft runbook.</w:t>
      </w:r>
    </w:p>
    <w:p>
      <w:pPr>
        <w:spacing w:after="120"/>
      </w:pPr>
      <w:r>
        <w:rPr>
          <w:b/>
          <w:bCs/>
        </w:rPr>
        <w:t xml:space="preserve">TRL6: </w:t>
      </w:r>
      <w:r>
        <w:t xml:space="preserve">Three or more releases led under supervision across at least two services or stacks, including one supervised rollback, fleet-reviewed logs.</w:t>
      </w:r>
    </w:p>
    <w:p>
      <w:pPr>
        <w:spacing w:after="120"/>
      </w:pPr>
      <w:r>
        <w:rPr>
          <w:b/>
          <w:bCs/>
        </w:rPr>
        <w:t xml:space="preserve">TRL9: </w:t>
      </w:r>
      <w:r>
        <w:t xml:space="preserve">An independent, unsupervised production release with no coach present, verified via audit logs and a correctly handled outcome, confirmed by an independent reviewer.</w:t>
      </w:r>
    </w:p>
    <w:p>
      <w:pPr>
        <w:pStyle w:val="Heading3"/>
        <w:spacing w:after="80" w:before="120"/>
      </w:pPr>
      <w:r>
        <w:t xml:space="preserve">Flagged</w:t>
      </w:r>
    </w:p>
    <w:p>
      <w:pPr>
        <w:spacing w:after="160"/>
      </w:pPr>
      <w:r>
        <w:rPr>
          <w:i/>
          <w:iCs/>
        </w:rPr>
        <w:t xml:space="preserve">Load-bearing: Phase 5 is last in the engagement order, and Phase 7's full capstone gate is blocked until Phase 5 certifies, so Phases 4 and 5 together sit on the fleet's critical path for capstone readiness. TRL6/9 evidence should span stacks as Java and Kotlin come online, or TRL9 risks certifying on Python/TypeScript alone.</w:t>
      </w:r>
    </w:p>
    <w:p>
      <w:pPr>
        <w:pStyle w:val="Heading2"/>
        <w:spacing w:after="120" w:before="240"/>
      </w:pPr>
      <w:r>
        <w:t xml:space="preserve">Phase 6: Operate, Observe, Incident Response</w:t>
      </w:r>
    </w:p>
    <w:p>
      <w:pPr>
        <w:spacing w:after="120"/>
      </w:pPr>
      <w:r>
        <w:rPr>
          <w:b/>
          <w:bCs/>
        </w:rPr>
        <w:t xml:space="preserve">Coaching lens: </w:t>
      </w:r>
      <w:r>
        <w:t xml:space="preserve">DevOps Coach</w:t>
      </w:r>
    </w:p>
    <w:p>
      <w:pPr>
        <w:pStyle w:val="Heading3"/>
        <w:spacing w:after="80" w:before="120"/>
      </w:pPr>
      <w:r>
        <w:t xml:space="preserve">Objectives</w:t>
      </w:r>
    </w:p>
    <w:p>
      <w:pPr>
        <w:pStyle w:val="ListParagraph"/>
        <w:numPr>
          <w:ilvl w:val="0"/>
          <w:numId w:val="2"/>
        </w:numPr>
        <w:spacing w:after="80"/>
      </w:pPr>
      <w:r>
        <w:t xml:space="preserve">Instrument and read production signals, structured logs, RED/USE metrics, distributed traces, to diagnose a live degradation without guessing.</w:t>
      </w:r>
    </w:p>
    <w:p>
      <w:pPr>
        <w:pStyle w:val="ListParagraph"/>
        <w:numPr>
          <w:ilvl w:val="0"/>
          <w:numId w:val="2"/>
        </w:numPr>
        <w:spacing w:after="80"/>
      </w:pPr>
      <w:r>
        <w:t xml:space="preserve">Run incident command on a real or injected-fault production incident: timeline discipline, comms cadence, mitigation before root cause.</w:t>
      </w:r>
    </w:p>
    <w:p>
      <w:pPr>
        <w:pStyle w:val="ListParagraph"/>
        <w:numPr>
          <w:ilvl w:val="0"/>
          <w:numId w:val="2"/>
        </w:numPr>
        <w:spacing w:after="80"/>
      </w:pPr>
      <w:r>
        <w:t xml:space="preserve">Write a blameless postmortem with a corrective-action list that closes at least one real observability or runbook gap.</w:t>
      </w:r>
    </w:p>
    <w:p>
      <w:pPr>
        <w:pStyle w:val="Heading3"/>
        <w:spacing w:after="80" w:before="120"/>
      </w:pPr>
      <w:r>
        <w:t xml:space="preserve">Session structure</w:t>
      </w:r>
    </w:p>
    <w:p>
      <w:pPr>
        <w:spacing w:after="160"/>
      </w:pPr>
      <w:r>
        <w:t xml:space="preserve">Weekly 90-minute embedded session, part live in current tooling, part shadowing a real incident, a fault-injection drill, or paired postmortem-writing, stepping up to ad hoc during any live incident where the coach shadows rather than drives.</w:t>
      </w:r>
    </w:p>
    <w:p>
      <w:pPr>
        <w:pStyle w:val="Heading3"/>
        <w:spacing w:after="80" w:before="120"/>
      </w:pPr>
      <w:r>
        <w:t xml:space="preserve">Evidence requirements</w:t>
      </w:r>
    </w:p>
    <w:p>
      <w:pPr>
        <w:spacing w:after="160"/>
      </w:pPr>
      <w:r>
        <w:t xml:space="preserve">PR or runbook links, incident timeline documentation, dashboard or alert evidence tied to a specific incident ID, and a postmortem doc, all independently reviewed.</w:t>
      </w:r>
    </w:p>
    <w:p>
      <w:pPr>
        <w:pStyle w:val="Heading3"/>
        <w:spacing w:after="80" w:before="120"/>
      </w:pPr>
      <w:r>
        <w:t xml:space="preserve">TRL-proposal bar</w:t>
      </w:r>
    </w:p>
    <w:p>
      <w:pPr>
        <w:spacing w:after="120"/>
      </w:pPr>
      <w:r>
        <w:rPr>
          <w:b/>
          <w:bCs/>
        </w:rPr>
        <w:t xml:space="preserve">TRL3: </w:t>
      </w:r>
      <w:r>
        <w:t xml:space="preserve">Correctly interprets a given trace/log bundle in a coach-designed simulated scenario.</w:t>
      </w:r>
    </w:p>
    <w:p>
      <w:pPr>
        <w:spacing w:after="120"/>
      </w:pPr>
      <w:r>
        <w:rPr>
          <w:b/>
          <w:bCs/>
        </w:rPr>
        <w:t xml:space="preserve">TRL6: </w:t>
      </w:r>
      <w:r>
        <w:t xml:space="preserve">Under supervision, leads incident command on a staging drill or low-severity live incident, confirmed by a non-coach reviewer.</w:t>
      </w:r>
    </w:p>
    <w:p>
      <w:pPr>
        <w:spacing w:after="120"/>
      </w:pPr>
      <w:r>
        <w:rPr>
          <w:b/>
          <w:bCs/>
        </w:rPr>
        <w:t xml:space="preserve">TRL9: </w:t>
      </w:r>
      <w:r>
        <w:t xml:space="preserve">Independently commands a SEV1/SEV2-equivalent live incident end to end with zero coaching intervention, certified by a non-coach gate reviewer.</w:t>
      </w:r>
    </w:p>
    <w:p>
      <w:pPr>
        <w:pStyle w:val="Heading3"/>
        <w:spacing w:after="80" w:before="120"/>
      </w:pPr>
      <w:r>
        <w:t xml:space="preserve">Flagged</w:t>
      </w:r>
    </w:p>
    <w:p>
      <w:pPr>
        <w:spacing w:after="160"/>
      </w:pPr>
      <w:r>
        <w:rPr>
          <w:i/>
          <w:iCs/>
        </w:rPr>
        <w:t xml:space="preserve">Carry-forward ruling: prior exposure (dashboards reviewed, drills attended) carries forward as context only. No prior TRL claim carries forward without independent gate-reviewer sign-off already on file. SpecOps retains ownership of the incident-command sub-focus certification within this phase; DevOps coaches toward it but does not certify that sub-component.</w:t>
      </w:r>
    </w:p>
    <w:p>
      <w:pPr>
        <w:pStyle w:val="Heading2"/>
        <w:spacing w:after="120" w:before="240"/>
      </w:pPr>
      <w:r>
        <w:t xml:space="preserve">Phase 7: Governance and Executive Strategy</w:t>
      </w:r>
    </w:p>
    <w:p>
      <w:pPr>
        <w:spacing w:after="120"/>
      </w:pPr>
      <w:r>
        <w:rPr>
          <w:b/>
          <w:bCs/>
        </w:rPr>
        <w:t xml:space="preserve">Coaching lens: </w:t>
      </w:r>
      <w:r>
        <w:t xml:space="preserve">CTO Strategy Architect (built strictly inside the Phase 7 binding conditions, not around them)</w:t>
      </w:r>
    </w:p>
    <w:p>
      <w:pPr>
        <w:pStyle w:val="Heading3"/>
        <w:spacing w:after="80" w:before="120"/>
      </w:pPr>
      <w:r>
        <w:t xml:space="preserve">Objectives</w:t>
      </w:r>
    </w:p>
    <w:p>
      <w:pPr>
        <w:pStyle w:val="ListParagraph"/>
        <w:numPr>
          <w:ilvl w:val="0"/>
          <w:numId w:val="2"/>
        </w:numPr>
        <w:spacing w:after="80"/>
      </w:pPr>
      <w:r>
        <w:t xml:space="preserve">Frame governance decisions as portfolio trade-offs in board-ready language, explicitly labeling anything outside an already-cleared sub-thread as illustrative, not certifiable.</w:t>
      </w:r>
    </w:p>
    <w:p>
      <w:pPr>
        <w:pStyle w:val="ListParagraph"/>
        <w:numPr>
          <w:ilvl w:val="0"/>
          <w:numId w:val="2"/>
        </w:numPr>
        <w:spacing w:after="80"/>
      </w:pPr>
      <w:r>
        <w:t xml:space="preserve">Practice cross-phase synthesis narration restricted to the one sub-thread already permitted to run hot: incident-command and security-monitoring, against existing Phase 6 evidence.</w:t>
      </w:r>
    </w:p>
    <w:p>
      <w:pPr>
        <w:pStyle w:val="ListParagraph"/>
        <w:numPr>
          <w:ilvl w:val="0"/>
          <w:numId w:val="2"/>
        </w:numPr>
        <w:spacing w:after="80"/>
      </w:pPr>
      <w:r>
        <w:t xml:space="preserve">Build escalation literacy, raising a sub-thread's stakes from pure exposure to supervised low-stakes drafting the moment its antecedent phase clears review, never proposing a TRL or attempting a gate before then.</w:t>
      </w:r>
    </w:p>
    <w:p>
      <w:pPr>
        <w:pStyle w:val="Heading3"/>
        <w:spacing w:after="80" w:before="120"/>
      </w:pPr>
      <w:r>
        <w:t xml:space="preserve">Session structure</w:t>
      </w:r>
    </w:p>
    <w:p>
      <w:pPr>
        <w:spacing w:after="160"/>
      </w:pPr>
      <w:r>
        <w:t xml:space="preserve">Interleaved: a short segment appended to sessions in the other six phases as they occur, plus periodic standalone synthesis-lab sessions. Every scenario is tagged with its governing sub-thread and current gating status.</w:t>
      </w:r>
    </w:p>
    <w:p>
      <w:pPr>
        <w:pStyle w:val="Heading3"/>
        <w:spacing w:after="80" w:before="120"/>
      </w:pPr>
      <w:r>
        <w:t xml:space="preserve">Evidence requirements</w:t>
      </w:r>
    </w:p>
    <w:p>
      <w:pPr>
        <w:spacing w:after="160"/>
      </w:pPr>
      <w:r>
        <w:t xml:space="preserve">Two-ledger separation. An informal exposure log is the default for every Phase 7 session entry and is never citable toward any TRL or gate in any phase, by any role. A formal certification-evidence ledger is populated only by independently fleet-reviewed evidence from the antecedent phase itself; Phase 7 sessions never write to it directly, they only reference entries once those entries exist.</w:t>
      </w:r>
    </w:p>
    <w:p>
      <w:pPr>
        <w:pStyle w:val="Heading3"/>
        <w:spacing w:after="80" w:before="120"/>
      </w:pPr>
      <w:r>
        <w:t xml:space="preserve">TRL-proposal bar</w:t>
      </w:r>
    </w:p>
    <w:p>
      <w:pPr>
        <w:spacing w:after="120"/>
      </w:pPr>
      <w:r>
        <w:rPr>
          <w:b/>
          <w:bCs/>
        </w:rPr>
        <w:t xml:space="preserve">TRL3: </w:t>
      </w:r>
      <w:r>
        <w:t xml:space="preserve">Requires the relevant sub-thread's antecedent phase to have cleared review at all, the earliest possible point.</w:t>
      </w:r>
    </w:p>
    <w:p>
      <w:pPr>
        <w:spacing w:after="120"/>
      </w:pPr>
      <w:r>
        <w:rPr>
          <w:b/>
          <w:bCs/>
        </w:rPr>
        <w:t xml:space="preserve">TRL6: </w:t>
      </w:r>
      <w:r>
        <w:t xml:space="preserve">Requires antecedent-phase evidence plus multiple logged supervised Phase 7 sessions after clearance; exposure-log entries alone are insufficient.</w:t>
      </w:r>
    </w:p>
    <w:p>
      <w:pPr>
        <w:spacing w:after="120"/>
      </w:pPr>
      <w:r>
        <w:rPr>
          <w:b/>
          <w:bCs/>
        </w:rPr>
        <w:t xml:space="preserve">TRL9: </w:t>
      </w:r>
      <w:r>
        <w:t xml:space="preserve">Requires antecedent-phase evidence, sustained TRL6 performance, and, for the full capstone synthesis specifically, cannot occur before Phase 5 certifies, a hard floor independent of any single sub-thread's readiness.</w:t>
      </w:r>
    </w:p>
    <w:p>
      <w:pPr>
        <w:pStyle w:val="Heading3"/>
        <w:spacing w:after="80" w:before="120"/>
      </w:pPr>
      <w:r>
        <w:t xml:space="preserve">Flagged</w:t>
      </w:r>
    </w:p>
    <w:p>
      <w:pPr>
        <w:spacing w:after="160"/>
      </w:pPr>
      <w:r>
        <w:rPr>
          <w:i/>
          <w:iCs/>
        </w:rPr>
        <w:t xml:space="preserve">Incident-command/security-monitoring is the sole sub-thread eligible to move toward TRL3 today. The two-ledger separation's enforcement mechanism (ledger ownership mirroring the coach/gate-reviewer role split) is a locked implementation requirement for any future Phase 7 ledger build, not yet built.</w:t>
      </w:r>
    </w:p>
    <w:p>
      <w:r>
        <w:br w:type="page"/>
      </w:r>
    </w:p>
    <w:p>
      <w:pPr>
        <w:pStyle w:val="Heading1"/>
        <w:spacing w:after="120" w:before="240"/>
      </w:pPr>
      <w:r>
        <w:t xml:space="preserve">Sources and companion artifacts</w:t>
      </w:r>
    </w:p>
    <w:p>
      <w:pPr>
        <w:spacing w:after="160"/>
      </w:pPr>
      <w:r>
        <w:t xml:space="preserve">This document is reconstructed in full from The Training Brain's Locked Decisions Register, Entries 1, 2, 9, and 11 (formerly named Anansi through Entry 12 of that document). It is the roadmap half of a permanent tandem: DREAMS, the interactive tracker dashboard (desktop artifact “augustin-dreams-tracker”), computes the live composite index from certified per-phase TRLs and holds the coaching-log and gate-outcome-evidence-ledger capture forms. The Training Brain holds the full append-only decision history, open questions, and handoff log. No one of the three is current read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2026-08-03T04:46:00.276Z</dcterms:created>
  <dcterms:modified xsi:type="dcterms:W3CDTF">2026-08-03T04:46:00.276Z</dcterms:modified>
</cp:coreProperties>
</file>

<file path=docProps/custom.xml><?xml version="1.0" encoding="utf-8"?>
<Properties xmlns="http://schemas.openxmlformats.org/officeDocument/2006/custom-properties" xmlns:vt="http://schemas.openxmlformats.org/officeDocument/2006/docPropsVTypes"/>
</file>