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p>
    <w:p>
      <w:pPr/>
      <w:r>
        <w:rPr>
          <w:rFonts w:ascii="Times New Roman" w:hAnsi="Times New Roman" w:cs="Times New Roman"/>
          <w:sz w:val="26"/>
          <w:szCs w:val="26"/>
          <w:b/>
        </w:rPr>
        <w:t xml:space="preserve">BỆNH VIỆN ĐA KHOA TỈNH</w:t>
      </w:r>
    </w:p>
    <w:p>
      <w:pPr>
        <w:jc w:val="center"/>
        <w:spacing w:before="120"/>
      </w:pPr>
      <w:r>
        <w:rPr>
          <w:rFonts w:ascii="Times New Roman" w:hAnsi="Times New Roman" w:cs="Times New Roman"/>
          <w:sz w:val="26"/>
          <w:szCs w:val="26"/>
        </w:rPr>
        <w:t xml:space="preserve">Số:          /QĐ-BV</w:t>
      </w:r>
    </w:p>
    <w:p>
      <w:pPr>
        <w:jc w:val="center"/>
      </w:pPr>
      <w:r>
        <w:rPr>
          <w:rFonts w:ascii="Times New Roman" w:hAnsi="Times New Roman" w:cs="Times New Roman"/>
          <w:sz w:val="26"/>
          <w:szCs w:val="26"/>
          <w:b/>
        </w:rPr>
        <w:t xml:space="preserve">CỘNG HOÀ XÃ HỘI CHỦ NGHĨA VIỆT NAM</w:t>
      </w:r>
    </w:p>
    <w:p>
      <w:pPr>
        <w:jc w:val="center"/>
      </w:pPr>
      <w:r>
        <w:rPr>
          <w:rFonts w:ascii="Times New Roman" w:hAnsi="Times New Roman" w:cs="Times New Roman"/>
          <w:sz w:val="26"/>
          <w:szCs w:val="26"/>
          <w:b/>
        </w:rPr>
        <w:t xml:space="preserve">Độc lập - Tự do - Hạnh phúc</w:t>
      </w:r>
    </w:p>
    <w:p>
      <w:pPr>
        <w:jc w:val="center"/>
        <w:spacing w:before="120"/>
      </w:pPr>
      <w:r>
        <w:rPr>
          <w:rFonts w:ascii="Times New Roman" w:hAnsi="Times New Roman" w:cs="Times New Roman"/>
          <w:sz w:val="26"/>
          <w:szCs w:val="26"/>
          <w:i/>
        </w:rPr>
        <w:t xml:space="preserve">Phú Thọ, ngày {{NGAY_KY}} tháng {{THANG_KY}} năm {{NAM_KY}}</w:t>
      </w:r>
      <w:r>
        <w:rPr>
          <w:rFonts w:ascii="Times New Roman" w:hAnsi="Times New Roman" w:cs="Times New Roman"/>
          <w:sz w:val="26"/>
          <w:szCs w:val="26"/>
        </w:rPr>
        <w:t xml:space="preserve"/>
      </w:r>
    </w:p>
    <w:p>
      <w:pPr>
        <w:ind w:first-line="570"/>
        <w:spacing w:before="480" w:after="120"/>
      </w:pPr>
      <w:r>
        <w:rPr>
          <w:rFonts w:ascii="Times New Roman" w:hAnsi="Times New Roman" w:cs="Times New Roman"/>
          <w:sz w:val="32"/>
          <w:szCs w:val="32"/>
          <w:b/>
        </w:rPr>
        <w:t xml:space="preserve">                                        </w:t>
      </w:r>
      <w:r>
        <w:rPr>
          <w:rFonts w:ascii="Times New Roman" w:hAnsi="Times New Roman" w:cs="Times New Roman"/>
          <w:sz w:val="28"/>
          <w:szCs w:val="28"/>
          <w:b/>
        </w:rPr>
        <w:t xml:space="preserve">QUYẾT ĐỊNH</w:t>
      </w:r>
      <w:r>
        <w:rPr>
          <w:rFonts w:ascii="Times New Roman" w:hAnsi="Times New Roman" w:cs="Times New Roman"/>
          <w:sz w:val="32"/>
          <w:szCs w:val="32"/>
          <w:b/>
        </w:rPr>
        <w:t xml:space="preserve"/>
      </w:r>
    </w:p>
    <w:p>
      <w:pPr>
        <w:jc w:val="center"/>
      </w:pPr>
      <w:r>
        <w:rPr>
          <w:rFonts w:ascii="Times New Roman" w:hAnsi="Times New Roman" w:cs="Times New Roman"/>
          <w:sz w:val="26"/>
          <w:szCs w:val="26"/>
          <w:b/>
        </w:rPr>
        <w:t xml:space="preserve">Phê duyệt chủ trương: Mua sắm băng ghim và dụng cụ cắt khâu nối dùng trong phẫu thuật phục vụ công tác chuyên môn tại Bệnh viện đa khoa tỉnh Phú Thọ</w:t>
      </w:r>
    </w:p>
    <w:p>
      <w:pPr>
        <w:jc w:val="center"/>
        <w:ind w:first-line="567"/>
        <w:spacing w:before="360" w:after="240"/>
      </w:pPr>
      <w:r>
        <w:rPr>
          <w:rFonts w:ascii="Times New Roman" w:hAnsi="Times New Roman" w:cs="Times New Roman"/>
          <w:sz w:val="26"/>
          <w:szCs w:val="26"/>
          <w:b/>
        </w:rPr>
        <w:t xml:space="preserve">GIÁM ĐỐC BỆNH VIỆN ĐA KHOA TỈNH PHÚ THỌ</w:t>
      </w:r>
    </w:p>
    <w:p>
      <w:pPr>
        <w:jc w:val="both"/>
        <w:ind w:first-line="567"/>
      </w:pPr>
      <w:r>
        <w:rPr>
          <w:rFonts w:ascii="Times New Roman" w:hAnsi="Times New Roman" w:cs="Times New Roman"/>
          <w:sz w:val="26"/>
          <w:szCs w:val="26"/>
          <w:i/>
        </w:rPr>
        <w:t xml:space="preserve">Căn cứ Luật Đấu thầu ngày 23/06/2023, được sửa đổi, bổ sung tại Luật số 57/2024/QH15 ngày 29/11/2024; Luật số 90/2025/QH15;</w:t>
      </w:r>
    </w:p>
    <w:p>
      <w:pPr>
        <w:jc w:val="both"/>
        <w:ind w:first-line="567"/>
      </w:pPr>
      <w:r>
        <w:rPr>
          <w:rFonts w:ascii="Times New Roman" w:hAnsi="Times New Roman" w:cs="Times New Roman"/>
          <w:sz w:val="26"/>
          <w:szCs w:val="26"/>
          <w:i/>
        </w:rPr>
        <w:t xml:space="preserve">Căn cứ Luật Khám bệnh, chữa bệnh ngày 09/01/2023;</w:t>
      </w:r>
    </w:p>
    <w:p>
      <w:pPr>
        <w:jc w:val="both"/>
        <w:ind w:first-line="567"/>
      </w:pPr>
      <w:r>
        <w:rPr>
          <w:rFonts w:ascii="Times New Roman" w:hAnsi="Times New Roman" w:cs="Times New Roman"/>
          <w:sz w:val="26"/>
          <w:szCs w:val="26"/>
          <w:i/>
        </w:rPr>
        <w:t xml:space="preserve">Căn cứ Luật Quản lý, sử dụng tài sản công ngày 21/6/2017;</w:t>
      </w:r>
    </w:p>
    <w:p>
      <w:pPr>
        <w:jc w:val="both"/>
        <w:ind w:first-line="567"/>
        <w:spacing w:before="60"/>
      </w:pPr>
      <w:r>
        <w:rPr>
          <w:rFonts w:ascii="Times New Roman" w:hAnsi="Times New Roman" w:cs="Times New Roman"/>
          <w:sz w:val="26"/>
          <w:szCs w:val="26"/>
          <w:i/>
        </w:rPr>
        <w:t xml:space="preserve">Căn cứ Nghị định số 214/2025/NĐ-CP ngày 04/8/2025 của Chính phủ quy định chi tiết một số điều và biện pháp thi hành Luật Đấu thầu về lựa chọn nhà thầu; </w:t>
      </w:r>
    </w:p>
    <w:p>
      <w:pPr>
        <w:jc w:val="both"/>
        <w:ind w:first-line="567"/>
        <w:spacing w:before="60"/>
      </w:pPr>
      <w:r>
        <w:rPr>
          <w:rFonts w:ascii="Times New Roman" w:hAnsi="Times New Roman" w:cs="Times New Roman"/>
          <w:sz w:val="26"/>
          <w:szCs w:val="26"/>
          <w:i/>
        </w:rPr>
        <w:t xml:space="preserve">Căn cứ Nghị định số 96/2023/NĐ-CP ngày 30/12/2023 của Chính phủ quy định chi tiết một số điều của Luật khám bệnh, chữa bệnh;</w:t>
      </w:r>
    </w:p>
    <w:p>
      <w:pPr>
        <w:jc w:val="both"/>
        <w:ind w:first-line="567"/>
        <w:spacing w:before="60"/>
      </w:pPr>
      <w:r>
        <w:rPr>
          <w:rFonts w:ascii="Times New Roman" w:hAnsi="Times New Roman" w:cs="Times New Roman"/>
          <w:sz w:val="26"/>
          <w:szCs w:val="26"/>
          <w:i/>
        </w:rPr>
        <w:t xml:space="preserve">Căn cứ Nghị định số 186/2025/NĐ-CP ngày 01/7/2025 của Chính phủ quy định chi tiết một số điều của Luật Quản lý, sử dụng tài sản công;</w:t>
      </w:r>
    </w:p>
    <w:p>
      <w:pPr>
        <w:jc w:val="both"/>
        <w:ind w:first-line="567"/>
        <w:spacing w:before="60"/>
      </w:pPr>
      <w:r>
        <w:rPr>
          <w:rFonts w:ascii="Times New Roman" w:hAnsi="Times New Roman" w:cs="Times New Roman"/>
          <w:sz w:val="26"/>
          <w:szCs w:val="26"/>
          <w:i/>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jc w:val="both"/>
        <w:ind w:first-line="567"/>
        <w:spacing w:before="60"/>
      </w:pPr>
      <w:r>
        <w:rPr>
          <w:rFonts w:ascii="Times New Roman" w:hAnsi="Times New Roman" w:cs="Times New Roman"/>
          <w:sz w:val="26"/>
          <w:szCs w:val="26"/>
          <w:i/>
        </w:rPr>
        <w:t xml:space="preserve">Căn cứ Nghị định số 60/2021/NĐ-CP ngày 21/6/2021 của Chính phủ về quy định cơ chế tự chủ tài chính của đơn vị sự nghiệp công lập;</w:t>
      </w:r>
      <w:r>
        <w:rPr>
          <w:rFonts w:ascii="Times New Roman" w:hAnsi="Times New Roman" w:cs="Times New Roman"/>
          <w:sz w:val="26"/>
          <w:szCs w:val="26"/>
        </w:rPr>
        <w:t xml:space="preserve"> </w:t>
      </w:r>
      <w:r>
        <w:rPr>
          <w:rFonts w:ascii="Times New Roman" w:hAnsi="Times New Roman" w:cs="Times New Roman"/>
          <w:sz w:val="26"/>
          <w:szCs w:val="26"/>
          <w:i/>
        </w:rPr>
        <w:t xml:space="preserve">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jc w:val="both"/>
        <w:ind w:first-line="567"/>
        <w:spacing w:before="60"/>
      </w:pPr>
      <w:r>
        <w:rPr>
          <w:rFonts w:ascii="Times New Roman" w:hAnsi="Times New Roman" w:cs="Times New Roman"/>
          <w:sz w:val="26"/>
          <w:szCs w:val="26"/>
          <w:i/>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jc w:val="both"/>
        <w:ind w:first-line="567"/>
        <w:spacing w:before="60"/>
      </w:pPr>
      <w:r>
        <w:rPr>
          <w:rFonts w:ascii="Times New Roman" w:hAnsi="Times New Roman" w:cs="Times New Roman"/>
          <w:sz w:val="26"/>
          <w:szCs w:val="26"/>
          <w:i/>
        </w:rPr>
        <w:t xml:space="preserve">Căn cứ Thông tư số 79/2025/TT-BTC ngày 04/08/2025 của Bộ Tài Chính hướng dẫn việc cung cấp, đăng tải thông tin về đấu thầu và mẫu hồ sơ đấu thầu trên Hệ thống mạng đấu thầu quốc gia;</w:t>
      </w:r>
    </w:p>
    <w:p>
      <w:pPr>
        <w:jc w:val="both"/>
        <w:ind w:first-line="567"/>
        <w:spacing w:before="60"/>
      </w:pPr>
      <w:r>
        <w:rPr>
          <w:rFonts w:ascii="Times New Roman" w:hAnsi="Times New Roman" w:cs="Times New Roman"/>
          <w:sz w:val="26"/>
          <w:szCs w:val="26"/>
          <w:i/>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ind w:first-line="567"/>
      </w:pPr>
      <w:r>
        <w:rPr>
          <w:rFonts w:ascii="Times New Roman" w:hAnsi="Times New Roman" w:cs="Times New Roman"/>
          <w:sz w:val="26"/>
          <w:szCs w:val="26"/>
          <w:i/>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jc w:val="both"/>
        <w:ind w:first-line="567"/>
        <w:spacing w:before="60"/>
      </w:pPr>
      <w:r>
        <w:rPr>
          <w:rFonts w:ascii="Times New Roman" w:hAnsi="Times New Roman" w:cs="Times New Roman"/>
          <w:sz w:val="26"/>
          <w:szCs w:val="26"/>
          <w:i/>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r>
        <w:rPr>
          <w:rFonts w:ascii="Times New Roman" w:hAnsi="Times New Roman" w:cs="Times New Roman"/>
          <w:sz w:val="24"/>
          <w:szCs w:val="24"/>
          <w:i/>
        </w:rPr>
        <w:t xml:space="preserve"/>
      </w:r>
    </w:p>
    <w:p>
      <w:pPr>
        <w:jc w:val="both"/>
        <w:ind w:first-line="567"/>
        <w:spacing w:before="60"/>
      </w:pPr>
      <w:r>
        <w:rPr>
          <w:rFonts w:ascii="Times New Roman" w:hAnsi="Times New Roman" w:cs="Times New Roman"/>
          <w:sz w:val="26"/>
          <w:szCs w:val="26"/>
          <w:i/>
        </w:rPr>
        <w:t xml:space="preserve">Căn cứ Quyết định số 3064/QĐ-UBND ngày 16/11/2017 của Chủ tịch UBND tỉnh Phú Thọ về việc giao quyền tự chủ, tự chịu trách nhiệm về tài chính cho các cơ quan, đơn vị thuộc tỉnh Phú Thọ quản lý; Quyết định số 2430/QĐ-UBND ngày 15/11/2023 của Chủ tịch UBND tỉnh Phú Thọ về việc phê duyệt mức độ tự chủ của các đơn vị sự nghiệp công lập cấp tỉnh giai đoạn 2023-2025;</w:t>
      </w:r>
    </w:p>
    <w:p>
      <w:pPr>
        <w:jc w:val="both"/>
        <w:ind w:first-line="567"/>
      </w:pPr>
      <w:r>
        <w:rPr>
          <w:rFonts w:ascii="Times New Roman" w:hAnsi="Times New Roman" w:cs="Times New Roman"/>
          <w:sz w:val="26"/>
          <w:szCs w:val="26"/>
          <w:i/>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jc w:val="both"/>
        <w:ind w:first-line="567"/>
        <w:spacing w:before="60"/>
      </w:pPr>
      <w:r>
        <w:rPr>
          <w:rFonts w:ascii="Times New Roman" w:hAnsi="Times New Roman" w:cs="Times New Roman"/>
          <w:sz w:val="26"/>
          <w:szCs w:val="26"/>
          <w:i/>
        </w:rPr>
        <w:t xml:space="preserve">Căn cứ Văn bản số 4203/SYT-KHTC ngày 25/12/2024 của Sở Y tế Phú Thọ về việc hướng dẫn một số nội dung về quản lý, sử dụng tài sản công;</w:t>
      </w:r>
    </w:p>
    <w:p>
      <w:pPr>
        <w:jc w:val="both"/>
        <w:ind w:first-line="567"/>
      </w:pPr>
      <w:r>
        <w:rPr>
          <w:rFonts w:ascii="Times New Roman" w:hAnsi="Times New Roman" w:cs="Times New Roman"/>
          <w:sz w:val="26"/>
          <w:szCs w:val="26"/>
          <w:i/>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jc w:val="both"/>
        <w:ind w:first-line="567"/>
        <w:spacing w:before="60"/>
      </w:pPr>
      <w:r>
        <w:rPr>
          <w:rFonts w:ascii="Times New Roman" w:hAnsi="Times New Roman" w:cs="Times New Roman"/>
          <w:sz w:val="26"/>
          <w:szCs w:val="26"/>
          <w:i/>
        </w:rPr>
        <w:t xml:space="preserve">Căn cứ Phiếu đề xuất mua sắm vật tư y tế của {{KHOA_DE_XUAT}} ngày {{NGAY_DE_XUAT}};</w:t>
      </w:r>
    </w:p>
    <w:p>
      <w:pPr>
        <w:jc w:val="both"/>
        <w:ind w:first-line="567"/>
        <w:spacing w:before="60"/>
      </w:pPr>
      <w:r>
        <w:rPr>
          <w:rFonts w:ascii="Times New Roman" w:hAnsi="Times New Roman" w:cs="Times New Roman"/>
          <w:sz w:val="26"/>
          <w:szCs w:val="26"/>
          <w:i/>
        </w:rPr>
        <w:t xml:space="preserve">Xét đề nghị của Trưởng phòng Vật tư thiết bị y tế.</w:t>
      </w:r>
    </w:p>
    <w:p>
      <w:pPr>
        <w:jc w:val="center"/>
        <w:ind w:first-line="567"/>
        <w:spacing w:before="120" w:after="120"/>
      </w:pPr>
      <w:r>
        <w:rPr>
          <w:rFonts w:ascii="Times New Roman" w:hAnsi="Times New Roman" w:cs="Times New Roman"/>
          <w:sz w:val="26"/>
          <w:szCs w:val="26"/>
          <w:b/>
        </w:rPr>
        <w:t xml:space="preserve">QUYẾT ĐỊNH:</w:t>
      </w:r>
    </w:p>
    <w:p>
      <w:pPr>
        <w:jc w:val="both"/>
        <w:ind w:first-line="567"/>
        <w:spacing w:before="240"/>
      </w:pPr>
      <w:r>
        <w:rPr>
          <w:rFonts w:ascii="Times New Roman" w:hAnsi="Times New Roman" w:cs="Times New Roman"/>
          <w:sz w:val="26"/>
          <w:szCs w:val="26"/>
          <w:b/>
        </w:rPr>
        <w:t xml:space="preserve">Điều 1. </w:t>
      </w:r>
      <w:r>
        <w:rPr>
          <w:rFonts w:ascii="Times New Roman" w:hAnsi="Times New Roman" w:cs="Times New Roman"/>
          <w:sz w:val="26"/>
          <w:szCs w:val="26"/>
        </w:rPr>
        <w:t xml:space="preserve">Phê duyệt chủ trương mua sắm băng ghim và dụng cụ cắt khâu nối dùng trong phẫu thuật phục vụ công tác chuyên môn tại Bệnh viện đa khoa tỉnh Phú Thọ. Nội dung cụ thể như phụ lục kèm theo.</w:t>
      </w:r>
    </w:p>
    <w:p>
      <w:pPr>
        <w:jc w:val="both"/>
        <w:ind w:first-line="567"/>
        <w:spacing w:before="240"/>
      </w:pPr>
      <w:r>
        <w:rPr>
          <w:rFonts w:ascii="Times New Roman" w:hAnsi="Times New Roman" w:cs="Times New Roman"/>
          <w:sz w:val="26"/>
          <w:szCs w:val="26"/>
          <w:b/>
        </w:rPr>
        <w:t xml:space="preserve">Điều 2</w:t>
      </w:r>
      <w:r>
        <w:rPr>
          <w:rFonts w:ascii="Times New Roman" w:hAnsi="Times New Roman" w:cs="Times New Roman"/>
          <w:sz w:val="26"/>
          <w:szCs w:val="26"/>
        </w:rPr>
        <w:t xml:space="preserve">. Giao Phòng Vật tư TBYT, Phòng Tài chính kế toán, Tổ chuyên gia và các đơn vị liên quan thực hiện các công việc tổ chức lựa chọn nhà thầu cung cấp thiết bị y tế, vật tư tiêu hao, hóa chất xét nghiệm theo quy định hiện hành của pháp luật. </w:t>
      </w:r>
    </w:p>
    <w:p>
      <w:pPr>
        <w:jc w:val="both"/>
        <w:ind w:first-line="567"/>
        <w:spacing w:before="240"/>
      </w:pPr>
      <w:r>
        <w:rPr>
          <w:rFonts w:ascii="Times New Roman" w:hAnsi="Times New Roman" w:cs="Times New Roman"/>
          <w:sz w:val="26"/>
          <w:szCs w:val="26"/>
          <w:b/>
        </w:rPr>
        <w:t xml:space="preserve">Điều 3</w:t>
      </w:r>
      <w:r>
        <w:rPr>
          <w:rFonts w:ascii="Times New Roman" w:hAnsi="Times New Roman" w:cs="Times New Roman"/>
          <w:sz w:val="26"/>
          <w:szCs w:val="26"/>
        </w:rPr>
        <w:t xml:space="preserve">. Quyết định này có hiệu lực kể từ ngày ký. Các ông/ bà Phòng Vật tư TBYT, Phòng Tài chính kế toán, Tổ chuyên gia và các trung tâm, khoa phòng, đơn vị liên quan chịu trách nhiệm thi hành quyết định này./.</w:t>
      </w:r>
    </w:p>
    <w:p>
      <w:pPr>
        <w:jc w:val="both"/>
      </w:pPr>
      <w:r>
        <w:rPr>
          <w:rFonts w:ascii="Times New Roman" w:hAnsi="Times New Roman" w:cs="Times New Roman"/>
          <w:sz w:val="26"/>
          <w:szCs w:val="26"/>
        </w:rPr>
        <w:t xml:space="preserve"/>
      </w:r>
    </w:p>
    <w:p>
      <w:pPr/>
      <w:r>
        <w:rPr>
          <w:rFonts w:ascii="Times New Roman" w:hAnsi="Times New Roman" w:cs="Times New Roman"/>
          <w:sz w:val="24"/>
          <w:szCs w:val="24"/>
          <w:b/>
          <w:i/>
        </w:rPr>
        <w:t xml:space="preserve">Nơi nhận:</w:t>
      </w:r>
    </w:p>
    <w:p>
      <w:pPr/>
      <w:r>
        <w:rPr>
          <w:rFonts w:ascii="Times New Roman" w:hAnsi="Times New Roman" w:cs="Times New Roman"/>
          <w:sz w:val="22"/>
          <w:szCs w:val="22"/>
        </w:rPr>
        <w:t xml:space="preserve">- Như điều 3 (t/h);</w:t>
      </w:r>
    </w:p>
    <w:p>
      <w:pPr/>
      <w:r>
        <w:rPr>
          <w:rFonts w:ascii="Times New Roman" w:hAnsi="Times New Roman" w:cs="Times New Roman"/>
          <w:sz w:val="22"/>
          <w:szCs w:val="22"/>
        </w:rPr>
        <w:t xml:space="preserve">- Lưu: VT, TCG, TCKT, VTYT.</w:t>
      </w:r>
    </w:p>
    <w:p>
      <w:pPr>
        <w:jc w:val="center"/>
      </w:pPr>
      <w:r>
        <w:rPr>
          <w:rFonts w:ascii="Times New Roman" w:hAnsi="Times New Roman" w:cs="Times New Roman"/>
          <w:sz w:val="28"/>
          <w:szCs w:val="28"/>
          <w:b/>
          <w:i/>
        </w:rPr>
        <w:t xml:space="preserve"/>
      </w:r>
    </w:p>
    <w:p>
      <w:pPr>
        <w:jc w:val="center"/>
      </w:pPr>
      <w:r>
        <w:rPr>
          <w:rFonts w:ascii="Times New Roman" w:hAnsi="Times New Roman" w:cs="Times New Roman"/>
          <w:sz w:val="28"/>
          <w:szCs w:val="28"/>
          <w:b/>
        </w:rPr>
        <w:t xml:space="preserve">GIÁM ĐỐC</w:t>
      </w:r>
    </w:p>
    <w:p>
      <w:pPr>
        <w:jc w:val="center"/>
      </w:pPr>
      <w:r>
        <w:rPr>
          <w:rFonts w:ascii="Times New Roman" w:hAnsi="Times New Roman" w:cs="Times New Roman"/>
          <w:sz w:val="36"/>
          <w:szCs w:val="36"/>
          <w:b/>
        </w:rPr>
        <w:t xml:space="preserve"/>
      </w:r>
    </w:p>
    <w:p>
      <w:pPr>
        <w:jc w:val="center"/>
      </w:pPr>
      <w:r>
        <w:rPr>
          <w:rFonts w:ascii="Times New Roman" w:hAnsi="Times New Roman" w:cs="Times New Roman"/>
          <w:sz w:val="28"/>
          <w:szCs w:val="28"/>
          <w:b/>
        </w:rPr>
        <w:t xml:space="preserve"/>
      </w:r>
    </w:p>
    <w:p>
      <w:pPr>
        <w:jc w:val="center"/>
      </w:pPr>
      <w:r>
        <w:rPr>
          <w:rFonts w:ascii="Times New Roman" w:hAnsi="Times New Roman" w:cs="Times New Roman"/>
          <w:sz w:val="28"/>
          <w:szCs w:val="28"/>
          <w:b/>
        </w:rPr>
        <w:t xml:space="preserve"/>
      </w:r>
    </w:p>
    <w:p>
      <w:pPr>
        <w:jc w:val="center"/>
      </w:pPr>
      <w:r>
        <w:rPr>
          <w:rFonts w:ascii="Times New Roman" w:hAnsi="Times New Roman" w:cs="Times New Roman"/>
          <w:sz w:val="28"/>
          <w:szCs w:val="28"/>
          <w:b/>
        </w:rPr>
        <w:t xml:space="preserve">{{GIAM_DOC_KY}}</w:t>
      </w:r>
    </w:p>
    <w:p>
      <w:pPr>
        <w:jc w:val="center"/>
      </w:pPr>
      <w:r>
        <w:rPr>
          <w:rFonts w:ascii="Times New Roman" w:hAnsi="Times New Roman" w:cs="Times New Roman"/>
          <w:sz w:val="28"/>
          <w:szCs w:val="28"/>
          <w:b/>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6"/>
          <w:szCs w:val="26"/>
          <w:b/>
        </w:rPr>
        <w:t xml:space="preserve"/>
      </w:r>
    </w:p>
    <w:p>
      <w:pP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PHỤ LỤC DANH MỤC ĐẦU TƯ MUA SẮM VẬT TƯ Y TẾ</w:t>
      </w:r>
    </w:p>
    <w:p>
      <w:pPr>
        <w:jc w:val="center"/>
        <w:spacing w:after="240"/>
      </w:pPr>
      <w:r>
        <w:rPr>
          <w:rFonts w:ascii="Times New Roman" w:hAnsi="Times New Roman" w:cs="Times New Roman"/>
          <w:sz w:val="26"/>
          <w:szCs w:val="26"/>
          <w:i/>
        </w:rPr>
        <w:t xml:space="preserve"> (Kèm theo Quyết định số:         /QĐ-BV ngày {{NGAY_KY}} của Giám đốc                    Bệnh viện đa khoa tỉnh Phú Thọ)</w:t>
      </w:r>
    </w:p>
    <w:p>
      <w:pPr>
        <w:jc w:val="center"/>
      </w:pPr>
      <w:r>
        <w:rPr>
          <w:rFonts w:ascii="Times New Roman" w:hAnsi="Times New Roman" w:cs="Times New Roman"/>
          <w:sz w:val="26"/>
          <w:szCs w:val="26"/>
          <w:b/>
        </w:rPr>
        <w:t xml:space="preserve">STT</w:t>
      </w:r>
    </w:p>
    <w:p>
      <w:pPr>
        <w:jc w:val="center"/>
      </w:pPr>
      <w:r>
        <w:rPr>
          <w:rFonts w:ascii="Times New Roman" w:hAnsi="Times New Roman" w:cs="Times New Roman"/>
          <w:sz w:val="26"/>
          <w:szCs w:val="26"/>
          <w:b/>
        </w:rPr>
        <w:t xml:space="preserve">Tên vật tư y tế</w:t>
      </w:r>
    </w:p>
    <w:p>
      <w:pPr>
        <w:jc w:val="center"/>
      </w:pPr>
      <w:r>
        <w:rPr>
          <w:rFonts w:ascii="Times New Roman" w:hAnsi="Times New Roman" w:cs="Times New Roman"/>
          <w:sz w:val="26"/>
          <w:szCs w:val="26"/>
          <w:b/>
        </w:rPr>
        <w:t xml:space="preserve">Tiêu chí kỹ thuật</w:t>
      </w:r>
    </w:p>
    <w:p>
      <w:pPr>
        <w:jc w:val="center"/>
      </w:pPr>
      <w:r>
        <w:rPr>
          <w:rFonts w:ascii="Times New Roman" w:hAnsi="Times New Roman" w:cs="Times New Roman"/>
          <w:sz w:val="26"/>
          <w:szCs w:val="26"/>
          <w:b/>
        </w:rPr>
        <w:t xml:space="preserve">Quy cách</w:t>
      </w:r>
    </w:p>
    <w:p>
      <w:pPr>
        <w:jc w:val="center"/>
      </w:pPr>
      <w:r>
        <w:rPr>
          <w:rFonts w:ascii="Times New Roman" w:hAnsi="Times New Roman" w:cs="Times New Roman"/>
          <w:sz w:val="26"/>
          <w:szCs w:val="26"/>
          <w:b/>
        </w:rPr>
        <w:t xml:space="preserve">ĐVT</w:t>
      </w:r>
    </w:p>
    <w:p>
      <w:pPr>
        <w:jc w:val="center"/>
      </w:pPr>
      <w:r>
        <w:rPr>
          <w:rFonts w:ascii="Times New Roman" w:hAnsi="Times New Roman" w:cs="Times New Roman"/>
          <w:sz w:val="26"/>
          <w:szCs w:val="26"/>
          <w:b/>
        </w:rPr>
        <w:t xml:space="preserve">Số lượng</w:t>
      </w:r>
    </w:p>
    <w:p>
      <w:pPr>
        <w:jc w:val="center"/>
      </w:pPr>
      <w:r>
        <w:rPr>
          <w:rFonts w:ascii="Times New Roman" w:hAnsi="Times New Roman" w:cs="Times New Roman"/>
          <w:sz w:val="26"/>
          <w:szCs w:val="26"/>
          <w:color w:val="000000"/>
        </w:rPr>
        <w:t xml:space="preserve">1</w:t>
      </w:r>
    </w:p>
    <w:p>
      <w:pPr>
        <w:jc w:val="center"/>
      </w:pPr>
      <w:r>
        <w:rPr>
          <w:rFonts w:ascii="Times New Roman" w:hAnsi="Times New Roman" w:cs="Times New Roman"/>
          <w:sz w:val="26"/>
          <w:szCs w:val="26"/>
        </w:rPr>
        <w:t xml:space="preserve">{{VT_1_TEN}}</w:t>
      </w:r>
    </w:p>
    <w:p>
      <w:pPr/>
      <w:r>
        <w:rPr>
          <w:rFonts w:ascii="Times New Roman" w:hAnsi="Times New Roman" w:cs="Times New Roman"/>
          <w:sz w:val="26"/>
          <w:szCs w:val="26"/>
        </w:rPr>
        <w:t xml:space="preserve">{{VT_1_TCKT}}</w:t>
      </w:r>
    </w:p>
    <w:p>
      <w:pPr>
        <w:jc w:val="center"/>
      </w:pPr>
      <w:r>
        <w:rPr>
          <w:rFonts w:ascii="Times New Roman" w:hAnsi="Times New Roman" w:cs="Times New Roman"/>
          <w:sz w:val="26"/>
          <w:szCs w:val="26"/>
        </w:rPr>
        <w:t xml:space="preserve">{{VT_1_QUY_CACH}}</w:t>
      </w:r>
    </w:p>
    <w:p>
      <w:pPr>
        <w:jc w:val="center"/>
      </w:pPr>
      <w:r>
        <w:rPr>
          <w:rFonts w:ascii="Times New Roman" w:hAnsi="Times New Roman" w:cs="Times New Roman"/>
          <w:sz w:val="26"/>
          <w:szCs w:val="26"/>
          <w:color w:val="000000"/>
        </w:rPr>
        <w:t xml:space="preserve">Cái</w:t>
      </w:r>
    </w:p>
    <w:p>
      <w:pPr>
        <w:jc w:val="center"/>
      </w:pPr>
      <w:r>
        <w:rPr>
          <w:rFonts w:ascii="Times New Roman" w:hAnsi="Times New Roman" w:cs="Times New Roman"/>
          <w:sz w:val="26"/>
          <w:szCs w:val="26"/>
          <w:color w:val="000000"/>
        </w:rPr>
        <w:t xml:space="preserve">110</w:t>
      </w:r>
    </w:p>
    <w:p>
      <w:pPr>
        <w:jc w:val="center"/>
      </w:pPr>
      <w:r>
        <w:rPr>
          <w:rFonts w:ascii="Times New Roman" w:hAnsi="Times New Roman" w:cs="Times New Roman"/>
          <w:sz w:val="26"/>
          <w:szCs w:val="26"/>
          <w:color w:val="000000"/>
        </w:rPr>
        <w:t xml:space="preserve">2</w:t>
      </w:r>
    </w:p>
    <w:p>
      <w:pPr>
        <w:jc w:val="center"/>
      </w:pPr>
      <w:r>
        <w:rPr>
          <w:rFonts w:ascii="Times New Roman" w:hAnsi="Times New Roman" w:cs="Times New Roman"/>
          <w:sz w:val="26"/>
          <w:szCs w:val="26"/>
        </w:rPr>
        <w:t xml:space="preserve">{{VT_2_TEN}}</w:t>
      </w:r>
    </w:p>
    <w:p>
      <w:pPr/>
      <w:r>
        <w:rPr>
          <w:rFonts w:ascii="Times New Roman" w:hAnsi="Times New Roman" w:cs="Times New Roman"/>
          <w:sz w:val="26"/>
          <w:szCs w:val="26"/>
        </w:rPr>
        <w:t xml:space="preserve">{{VT_2_TCKT}}</w:t>
      </w:r>
    </w:p>
    <w:p>
      <w:pPr>
        <w:jc w:val="center"/>
      </w:pPr>
      <w:r>
        <w:rPr>
          <w:rFonts w:ascii="Times New Roman" w:hAnsi="Times New Roman" w:cs="Times New Roman"/>
          <w:sz w:val="26"/>
          <w:szCs w:val="26"/>
        </w:rPr>
        <w:t xml:space="preserve">{{VT_2_QUY_CACH}}</w:t>
      </w:r>
    </w:p>
    <w:p>
      <w:pPr>
        <w:jc w:val="center"/>
      </w:pPr>
      <w:r>
        <w:rPr>
          <w:rFonts w:ascii="Times New Roman" w:hAnsi="Times New Roman" w:cs="Times New Roman"/>
          <w:sz w:val="26"/>
          <w:szCs w:val="26"/>
          <w:color w:val="000000"/>
        </w:rPr>
        <w:t xml:space="preserve"> Cái</w:t>
      </w:r>
    </w:p>
    <w:p>
      <w:pPr>
        <w:jc w:val="center"/>
      </w:pPr>
      <w:r>
        <w:rPr>
          <w:rFonts w:ascii="Times New Roman" w:hAnsi="Times New Roman" w:cs="Times New Roman"/>
          <w:sz w:val="26"/>
          <w:szCs w:val="26"/>
          <w:color w:val="000000"/>
        </w:rPr>
        <w:t xml:space="preserve">20</w:t>
      </w:r>
    </w:p>
    <w:p>
      <w:pPr>
        <w:jc w:val="center"/>
      </w:pPr>
      <w:r>
        <w:rPr>
          <w:rFonts w:ascii="Times New Roman" w:hAnsi="Times New Roman" w:cs="Times New Roman"/>
          <w:sz w:val="26"/>
          <w:szCs w:val="26"/>
          <w:color w:val="000000"/>
        </w:rPr>
        <w:t xml:space="preserve">3</w:t>
      </w:r>
    </w:p>
    <w:p>
      <w:pPr>
        <w:jc w:val="center"/>
      </w:pPr>
      <w:r>
        <w:rPr>
          <w:rFonts w:ascii="Times New Roman" w:hAnsi="Times New Roman" w:cs="Times New Roman"/>
          <w:sz w:val="26"/>
          <w:szCs w:val="26"/>
        </w:rPr>
        <w:t xml:space="preserve">{{VT_3_TEN}}</w:t>
      </w:r>
    </w:p>
    <w:p>
      <w:pPr/>
      <w:r>
        <w:rPr>
          <w:rFonts w:ascii="Times New Roman" w:hAnsi="Times New Roman" w:cs="Times New Roman"/>
          <w:sz w:val="26"/>
          <w:szCs w:val="26"/>
        </w:rPr>
        <w:t xml:space="preserve">{{VT_3_TCKT}}</w:t>
      </w:r>
    </w:p>
    <w:p>
      <w:pPr>
        <w:jc w:val="center"/>
      </w:pPr>
      <w:r>
        <w:rPr>
          <w:rFonts w:ascii="Times New Roman" w:hAnsi="Times New Roman" w:cs="Times New Roman"/>
          <w:sz w:val="26"/>
          <w:szCs w:val="26"/>
        </w:rPr>
        <w:t xml:space="preserve">3 cái/ Hộp</w:t>
      </w:r>
    </w:p>
    <w:p>
      <w:pPr>
        <w:jc w:val="center"/>
      </w:pPr>
      <w:r>
        <w:rPr>
          <w:rFonts w:ascii="Times New Roman" w:hAnsi="Times New Roman" w:cs="Times New Roman"/>
          <w:sz w:val="26"/>
          <w:szCs w:val="26"/>
          <w:color w:val="000000"/>
        </w:rPr>
        <w:t xml:space="preserve">Cái</w:t>
      </w:r>
    </w:p>
    <w:p>
      <w:pPr>
        <w:jc w:val="center"/>
      </w:pPr>
      <w:r>
        <w:rPr>
          <w:rFonts w:ascii="Times New Roman" w:hAnsi="Times New Roman" w:cs="Times New Roman"/>
          <w:sz w:val="26"/>
          <w:szCs w:val="26"/>
          <w:color w:val="000000"/>
        </w:rPr>
        <w:t xml:space="preserve">05</w:t>
      </w:r>
    </w:p>
    <w:p>
      <w:pPr>
        <w:jc w:val="center"/>
      </w:pPr>
      <w:r>
        <w:rPr>
          <w:rFonts w:ascii="Times New Roman" w:hAnsi="Times New Roman" w:cs="Times New Roman"/>
          <w:sz w:val="26"/>
          <w:szCs w:val="26"/>
          <w:color w:val="000000"/>
        </w:rPr>
        <w:t xml:space="preserve">4</w:t>
      </w:r>
    </w:p>
    <w:p>
      <w:pPr>
        <w:jc w:val="center"/>
      </w:pPr>
      <w:r>
        <w:rPr>
          <w:rFonts w:ascii="Times New Roman" w:hAnsi="Times New Roman" w:cs="Times New Roman"/>
          <w:sz w:val="26"/>
          <w:szCs w:val="26"/>
        </w:rPr>
        <w:t xml:space="preserve">{{VT_4_TEN}}</w:t>
      </w:r>
    </w:p>
    <w:p>
      <w:pPr/>
      <w:r>
        <w:rPr>
          <w:rFonts w:ascii="Times New Roman" w:hAnsi="Times New Roman" w:cs="Times New Roman"/>
          <w:sz w:val="26"/>
          <w:szCs w:val="26"/>
        </w:rPr>
        <w:t xml:space="preserve">{{VT_4_TCKT}}</w:t>
      </w:r>
    </w:p>
    <w:p>
      <w:pPr>
        <w:jc w:val="center"/>
      </w:pPr>
      <w:r>
        <w:rPr>
          <w:rFonts w:ascii="Times New Roman" w:hAnsi="Times New Roman" w:cs="Times New Roman"/>
          <w:sz w:val="26"/>
          <w:szCs w:val="26"/>
        </w:rPr>
        <w:t xml:space="preserve">{{VT_1_QUY_CACH}}</w:t>
      </w:r>
    </w:p>
    <w:p>
      <w:pPr>
        <w:jc w:val="center"/>
      </w:pPr>
      <w:r>
        <w:rPr>
          <w:rFonts w:ascii="Times New Roman" w:hAnsi="Times New Roman" w:cs="Times New Roman"/>
          <w:sz w:val="26"/>
          <w:szCs w:val="26"/>
          <w:color w:val="000000"/>
        </w:rPr>
        <w:t xml:space="preserve">Cái</w:t>
      </w:r>
    </w:p>
    <w:p>
      <w:pPr>
        <w:jc w:val="center"/>
      </w:pPr>
      <w:r>
        <w:rPr>
          <w:rFonts w:ascii="Times New Roman" w:hAnsi="Times New Roman" w:cs="Times New Roman"/>
          <w:sz w:val="26"/>
          <w:szCs w:val="26"/>
          <w:color w:val="000000"/>
        </w:rPr>
        <w:t xml:space="preserve">262</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PHÚ THỌ                       CỘNG HOÀ XÃ HỘI CHỦ NGHĨA VIỆT NAM    BỆNH VIỆN ĐA KHOA TỈNH                              Độc lập - Tự do - Hạnh phúc</dc:title>
  <dc:subject/>
  <dc:creator>WINXP_SP3</dc:creator>
  <cp:keywords/>
  <cp:lastModifiedBy>MY</cp:lastModifiedBy>
  <dcterms:created>2019-06-12T16:40:00Z</dcterms:created>
  <dcterms:modified>2019-06-12T16:40:00Z</dcterms:modified>
</cp:coreProperties>
</file>

<file path=docProps/meta.xml><?xml version="1.0" encoding="utf-8"?>
<meta xmlns="http://schemas.apple.com/cocoa/2006/metadata">
  <generator>CocoaOOXMLWriter/2757.5</generator>
</meta>
</file>