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body>
    <w:tbl>
      <w:tblPr>
        <w:tblW w:w="9380" w:type="dxa"/>
        <w:jc w:val="center"/>
        <w:tblInd w:w="0" w:type="dxa"/>
        <w:tblLayout w:type="fixed"/>
        <w:tblCellMar>
          <w:top w:w="0" w:type="dxa"/>
          <w:start w:w="108" w:type="dxa"/>
          <w:bottom w:w="0" w:type="dxa"/>
          <w:end w:w="108" w:type="dxa"/>
        </w:tblCellMar>
      </w:tblPr>
      <w:tblGrid>
        <w:gridCol w:w="3710"/>
        <w:gridCol w:w="5670"/>
      </w:tblGrid>
      <w:tr>
        <w:trPr>
          <w:trHeight w:val="849" w:hRule="atLeast"/>
        </w:trPr>
        <w:tc>
          <w:tcPr>
            <w:tcW w:w="3710" w:type="dxa"/>
            <w:tcBorders/>
          </w:tcPr>
          <w:p>
            <w:pPr>
              <w:pStyle w:val="Normal"/>
              <w:jc w:val="center"/>
              <w:rPr>
                <w:szCs w:val="26"/>
              </w:rPr>
            </w:pPr>
            <w:r>
              <w:rPr>
                <w:szCs w:val="26"/>
              </w:rPr>
              <w:t>SỞ Y TẾ PHÚ THỌ</w:t>
            </w:r>
          </w:p>
          <w:p>
            <w:pPr>
              <w:pStyle w:val="Normal"/>
              <w:jc w:val="center"/>
              <w:rPr>
                <w:b/>
                <w:szCs w:val="26"/>
              </w:rPr>
            </w:pPr>
            <w:r>
              <w:rPr>
                <w:b/>
                <w:szCs w:val="26"/>
              </w:rPr>
              <w:t>BỆNH VIỆN ĐA KHOA TỈNH</w:t>
            </w:r>
          </w:p>
          <w:p>
            <w:pPr>
              <w:pStyle w:val="Normal"/>
              <w:spacing w:before="200" w:after="0"/>
              <w:jc w:val="center"/>
              <w:rPr>
                <w:b/>
                <w:szCs w:val="26"/>
                <w:u w:val="single"/>
              </w:rPr>
            </w:pPr>
            <w:r>
              <w:rPr>
                <w:bCs/>
                <w:sz w:val="28"/>
                <w:szCs w:val="26"/>
              </w:rPr>
              <mc:AlternateContent>
                <mc:Choice Requires="wps">
                  <w:drawing>
                    <wp:anchor distT="0" distB="0" distL="114935" distR="114935" simplePos="0" relativeHeight="2" behindDoc="0" locked="0" layoutInCell="1" allowOverlap="1">
                      <wp:simplePos x="0" y="0"/>
                      <wp:positionH relativeFrom="column">
                        <wp:posOffset>505460</wp:posOffset>
                      </wp:positionH>
                      <wp:positionV relativeFrom="paragraph">
                        <wp:posOffset>18415</wp:posOffset>
                      </wp:positionV>
                      <wp:extent cx="1237615" cy="1270"/>
                      <wp:effectExtent l="635" t="5080" r="635" b="5080"/>
                      <wp:wrapNone/>
                      <wp:docPr id="1" name=""/>
                      <a:graphic xmlns:a="http://schemas.openxmlformats.org/drawingml/2006/main">
                        <a:graphicData uri="http://schemas.microsoft.com/office/word/2010/wordprocessingShape">
                          <wps:wsp>
                            <wps:cNvCnPr/>
                            <wps:spPr>
                              <a:xfrm>
                                <a:off x="0" y="0"/>
                                <a:ext cx="123804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39.8pt;margin-top:1.45pt;width:97.45pt;height:0.1pt" type="_x0000_t32">
                      <v:stroke color="black" weight="9360" joinstyle="miter" endcap="flat"/>
                      <v:fill o:detectmouseclick="t" on="false"/>
                      <w10:wrap type="none"/>
                    </v:shape>
                  </w:pict>
                </mc:Fallback>
              </mc:AlternateContent>
            </w:r>
            <w:r>
              <w:rPr>
                <w:bCs/>
                <w:sz w:val="28"/>
                <w:szCs w:val="26"/>
              </w:rPr>
              <w:t>Số:        /QĐ-BV</w:t>
            </w:r>
          </w:p>
        </w:tc>
        <w:tc>
          <w:tcPr>
            <w:tcW w:w="5670" w:type="dxa"/>
            <w:tcBorders/>
          </w:tcPr>
          <w:p>
            <w:pPr>
              <w:pStyle w:val="Normal"/>
              <w:jc w:val="center"/>
              <w:rPr>
                <w:b/>
                <w:szCs w:val="26"/>
              </w:rPr>
            </w:pPr>
            <w:r>
              <w:rPr>
                <w:b/>
                <w:szCs w:val="26"/>
              </w:rPr>
              <w:t>CỘNG HÒA XÃ HỘI CHỦ NGHĨA VIỆT NAM</w:t>
            </w:r>
          </w:p>
          <w:p>
            <w:pPr>
              <w:pStyle w:val="Normal"/>
              <w:jc w:val="center"/>
              <w:rPr>
                <w:b/>
                <w:sz w:val="28"/>
                <w:szCs w:val="28"/>
              </w:rPr>
            </w:pPr>
            <w:r>
              <w:rPr>
                <w:b/>
                <w:sz w:val="28"/>
                <w:szCs w:val="28"/>
              </w:rPr>
              <w:t>Độc lập - Tự do - Hạnh phúc</w:t>
            </w:r>
          </w:p>
          <w:p>
            <w:pPr>
              <w:pStyle w:val="Normal"/>
              <w:spacing w:before="120" w:after="0"/>
              <w:jc w:val="center"/>
              <w:rPr>
                <w:b/>
                <w:szCs w:val="26"/>
              </w:rPr>
            </w:pPr>
            <w:r>
              <mc:AlternateContent>
                <mc:Choice Requires="wps">
                  <w:drawing>
                    <wp:anchor distT="0" distB="0" distL="114935" distR="114935" simplePos="0" relativeHeight="4" behindDoc="0" locked="0" layoutInCell="1" allowOverlap="1">
                      <wp:simplePos x="0" y="0"/>
                      <wp:positionH relativeFrom="column">
                        <wp:posOffset>814070</wp:posOffset>
                      </wp:positionH>
                      <wp:positionV relativeFrom="paragraph">
                        <wp:posOffset>28575</wp:posOffset>
                      </wp:positionV>
                      <wp:extent cx="1927225" cy="1270"/>
                      <wp:effectExtent l="635" t="5080" r="635" b="5080"/>
                      <wp:wrapNone/>
                      <wp:docPr id="2" name=""/>
                      <a:graphic xmlns:a="http://schemas.openxmlformats.org/drawingml/2006/main">
                        <a:graphicData uri="http://schemas.microsoft.com/office/word/2010/wordprocessingShape">
                          <wps:wsp>
                            <wps:cNvCnPr/>
                            <wps:spPr>
                              <a:xfrm>
                                <a:off x="0" y="0"/>
                                <a:ext cx="1927800" cy="1800"/>
                              </a:xfrm>
                              <a:prstGeom prst="straightConnector1">
                                <a:avLst/>
                              </a:prstGeom>
                              <a:ln w="9360">
                                <a:solidFill>
                                  <a:srgbClr val="000000"/>
                                </a:solidFill>
                                <a:miter/>
                              </a:ln>
                            </wps:spPr>
                            <wps:bodyPr/>
                          </wps:wsp>
                        </a:graphicData>
                      </a:graphic>
                    </wp:anchor>
                  </w:drawing>
                </mc:Choice>
                <mc:Fallback>
                  <w:pict>
                    <v:shape id="shape_0_2" stroked="t" o:allowincell="t" style="position:absolute;margin-left:64.1pt;margin-top:2.25pt;width:151.75pt;height:0.1pt" type="_x0000_t32">
                      <v:stroke color="black" weight="9360" joinstyle="miter" endcap="flat"/>
                      <v:fill o:detectmouseclick="t" on="false"/>
                      <w10:wrap type="none"/>
                    </v:shape>
                  </w:pict>
                </mc:Fallback>
              </mc:AlternateContent>
            </w:r>
            <w:r>
              <w:rPr>
                <w:b/>
                <w:szCs w:val="26"/>
              </w:rPr>
              <w:softHyphen/>
              <w:softHyphen/>
              <w:softHyphen/>
              <w:softHyphen/>
              <w:softHyphen/>
              <w:softHyphen/>
              <w:softHyphen/>
              <w:softHyphen/>
              <w:softHyphen/>
              <w:softHyphen/>
              <w:softHyphen/>
              <w:softHyphen/>
              <w:softHyphen/>
              <w:softHyphen/>
              <w:softHyphen/>
              <w:softHyphen/>
              <w:softHyphen/>
              <w:softHyphen/>
              <w:softHyphen/>
              <w:softHyphen/>
              <w:softHyphen/>
              <w:softHyphen/>
            </w:r>
            <w:r>
              <w:rPr>
                <w:i/>
                <w:sz w:val="28"/>
                <w:szCs w:val="26"/>
              </w:rPr>
              <w:t xml:space="preserve"> Phú Thọ, ngày 19 tháng </w:t>
            </w:r>
            <w:r>
              <w:rPr>
                <w:i/>
                <w:sz w:val="28"/>
                <w:szCs w:val="26"/>
                <w:lang w:val="vi-VN"/>
              </w:rPr>
              <w:t>05</w:t>
            </w:r>
            <w:r>
              <w:rPr>
                <w:i/>
                <w:sz w:val="28"/>
                <w:szCs w:val="26"/>
              </w:rPr>
              <w:t xml:space="preserve"> năm 2026</w:t>
            </w:r>
          </w:p>
        </w:tc>
      </w:tr>
      <w:tr>
        <w:trPr>
          <w:trHeight w:val="511" w:hRule="atLeast"/>
        </w:trPr>
        <w:tc>
          <w:tcPr>
            <w:tcW w:w="3710" w:type="dxa"/>
            <w:tcBorders/>
          </w:tcPr>
          <w:p>
            <w:pPr>
              <w:pStyle w:val="Normal"/>
              <w:snapToGrid w:val="false"/>
              <w:jc w:val="center"/>
              <w:rPr>
                <w:bCs/>
                <w:i/>
                <w:szCs w:val="26"/>
              </w:rPr>
            </w:pPr>
            <w:r>
              <w:rPr>
                <w:b/>
                <w:bCs/>
                <w:i/>
                <w:szCs w:val="26"/>
              </w:rPr>
            </w:r>
          </w:p>
        </w:tc>
        <w:tc>
          <w:tcPr>
            <w:tcW w:w="5670" w:type="dxa"/>
            <w:tcBorders/>
          </w:tcPr>
          <w:p>
            <w:pPr>
              <w:pStyle w:val="Normal"/>
              <w:snapToGrid w:val="false"/>
              <w:jc w:val="center"/>
              <w:rPr>
                <w:szCs w:val="26"/>
                <w:lang w:val="vi-VN"/>
              </w:rPr>
            </w:pPr>
            <w:r>
              <w:rPr>
                <w:bCs/>
                <w:i/>
                <w:szCs w:val="26"/>
                <w:lang w:val="vi-VN"/>
              </w:rPr>
            </w:r>
          </w:p>
        </w:tc>
      </w:tr>
    </w:tbl>
    <w:p>
      <w:pPr>
        <w:pStyle w:val="Normal"/>
        <w:spacing w:before="240" w:after="60"/>
        <w:jc w:val="center"/>
        <w:rPr>
          <w:b/>
          <w:sz w:val="28"/>
          <w:szCs w:val="26"/>
        </w:rPr>
      </w:pPr>
      <w:r>
        <w:rPr>
          <w:b/>
          <w:sz w:val="28"/>
          <w:szCs w:val="26"/>
        </w:rPr>
        <w:t>QUYẾT ĐỊNH</w:t>
      </w:r>
    </w:p>
    <w:p>
      <w:pPr>
        <w:pStyle w:val="Normal"/>
        <w:spacing w:lineRule="auto" w:line="264"/>
        <w:jc w:val="center"/>
        <w:rPr>
          <w:b/>
          <w:sz w:val="28"/>
          <w:szCs w:val="27"/>
          <w:lang w:val="nl-NL"/>
        </w:rPr>
      </w:pPr>
      <w:r>
        <w:rPr>
          <w:b/>
          <w:sz w:val="28"/>
          <w:szCs w:val="27"/>
          <w:lang w:val="nl-NL"/>
        </w:rPr>
        <w:t xml:space="preserve">Về việc phê duyệt kết quả lựa chọn nhà thầu qua mạng gói thầu: Mua sắm </w:t>
      </w:r>
      <w:r>
        <w:rPr>
          <w:b/>
          <w:sz w:val="28"/>
          <w:szCs w:val="27"/>
          <w:lang w:val="vi-VN"/>
        </w:rPr>
        <w:t xml:space="preserve">băng ghim và dụng cụ cắt khâu nối dùng trong phẫu thuật </w:t>
      </w:r>
      <w:r>
        <w:rPr>
          <w:b/>
          <w:sz w:val="28"/>
          <w:szCs w:val="27"/>
          <w:lang w:val="nl-NL"/>
        </w:rPr>
        <w:t xml:space="preserve">phục vụ công tác chuyên môn tại Bệnh viện đa khoa tỉnh Phú Thọ, thuộc kế hoạch lựa chọn nhà thầu: Mua sắm </w:t>
      </w:r>
      <w:r>
        <w:rPr>
          <w:b/>
          <w:sz w:val="28"/>
          <w:szCs w:val="27"/>
          <w:lang w:val="vi-VN"/>
        </w:rPr>
        <w:t xml:space="preserve">băng ghim và dụng cụ cắt khâu nối dùng trong phẫu thuật </w:t>
      </w:r>
      <w:r>
        <w:rPr>
          <w:b/>
          <w:sz w:val="28"/>
          <w:szCs w:val="27"/>
          <w:lang w:val="nl-NL"/>
        </w:rPr>
        <w:t xml:space="preserve">phục vụ công tác chuyên môn tại Bệnh viện đa khoa tỉnh Phú Thọ, thuộc dự toán mua sắm: Mua sắm </w:t>
      </w:r>
      <w:r>
        <w:rPr>
          <w:b/>
          <w:sz w:val="28"/>
          <w:szCs w:val="27"/>
          <w:lang w:val="vi-VN"/>
        </w:rPr>
        <w:t xml:space="preserve">băng ghim và dụng cụ cắt khâu nối dùng trong phẫu thuật </w:t>
      </w:r>
      <w:r>
        <w:rPr>
          <w:b/>
          <w:sz w:val="28"/>
          <w:szCs w:val="27"/>
          <w:lang w:val="nl-NL"/>
        </w:rPr>
        <w:t>phục vụ công tác chuyên môn tại Bệnh viện đa khoa tỉnh Phú Thọ</w:t>
      </w:r>
    </w:p>
    <w:p>
      <w:pPr>
        <w:pStyle w:val="Normal"/>
        <w:spacing w:lineRule="atLeast" w:line="26" w:before="360" w:after="360"/>
        <w:jc w:val="center"/>
        <w:rPr>
          <w:sz w:val="28"/>
          <w:szCs w:val="28"/>
          <w:lang w:val="nl-NL"/>
        </w:rPr>
      </w:pPr>
      <w:r>
        <mc:AlternateContent>
          <mc:Choice Requires="wps">
            <w:drawing>
              <wp:anchor distT="0" distB="0" distL="114935" distR="114935" simplePos="0" relativeHeight="3" behindDoc="0" locked="0" layoutInCell="1" allowOverlap="1">
                <wp:simplePos x="0" y="0"/>
                <wp:positionH relativeFrom="column">
                  <wp:posOffset>1951355</wp:posOffset>
                </wp:positionH>
                <wp:positionV relativeFrom="paragraph">
                  <wp:posOffset>35560</wp:posOffset>
                </wp:positionV>
                <wp:extent cx="1797685" cy="0"/>
                <wp:effectExtent l="0" t="5080" r="0" b="5080"/>
                <wp:wrapNone/>
                <wp:docPr id="3" name=""/>
                <a:graphic xmlns:a="http://schemas.openxmlformats.org/drawingml/2006/main">
                  <a:graphicData uri="http://schemas.microsoft.com/office/word/2010/wordprocessingShape">
                    <wps:wsp>
                      <wps:cNvSpPr/>
                      <wps:spPr>
                        <a:xfrm>
                          <a:off x="0" y="0"/>
                          <a:ext cx="17978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_3" from="153.65pt,2.8pt" to="295.15pt,2.8pt" stroked="t" o:allowincell="f" style="position:absolute">
                <v:stroke color="black" weight="9360" joinstyle="miter" endcap="flat"/>
                <v:fill o:detectmouseclick="t" on="false"/>
                <w10:wrap type="none"/>
              </v:line>
            </w:pict>
          </mc:Fallback>
        </mc:AlternateContent>
      </w:r>
      <w:r>
        <w:rPr>
          <w:b/>
          <w:sz w:val="28"/>
          <w:szCs w:val="28"/>
          <w:lang w:val="nl-NL"/>
        </w:rPr>
        <w:t>GIÁM ĐỐC BỆNH VIỆN ĐA KHOA TỈNH PHÚ THỌ</w:t>
      </w:r>
    </w:p>
    <w:p>
      <w:pPr>
        <w:pStyle w:val="Normal"/>
        <w:spacing w:lineRule="auto" w:line="312"/>
        <w:ind w:firstLine="567" w:end="0"/>
        <w:jc w:val="both"/>
        <w:rPr>
          <w:i/>
          <w:sz w:val="28"/>
          <w:szCs w:val="28"/>
        </w:rPr>
      </w:pPr>
      <w:bookmarkStart w:id="0" w:name="_Hlk195694140"/>
      <w:r>
        <w:rPr>
          <w:i/>
          <w:sz w:val="28"/>
          <w:szCs w:val="28"/>
        </w:rPr>
        <w:t>Căn cứ Luật Đấu thầu ngày 23/06/2023, được sửa đổi, bổ sung tại Luật số 57/2024/QH15 ngày 29/11/2024; Luật số 90/2025/QH15 ngày 25/6/2025;</w:t>
      </w:r>
    </w:p>
    <w:p>
      <w:pPr>
        <w:pStyle w:val="Normal"/>
        <w:spacing w:lineRule="auto" w:line="312"/>
        <w:ind w:firstLine="567" w:end="0"/>
        <w:jc w:val="both"/>
        <w:rPr>
          <w:i/>
          <w:sz w:val="28"/>
          <w:szCs w:val="28"/>
        </w:rPr>
      </w:pPr>
      <w:r>
        <w:rPr>
          <w:i/>
          <w:sz w:val="28"/>
          <w:szCs w:val="28"/>
        </w:rPr>
        <w:t>Căn cứ Luật Khám bệnh, chữa bệnh ngày 09/01/2023;</w:t>
      </w:r>
    </w:p>
    <w:p>
      <w:pPr>
        <w:pStyle w:val="Normal"/>
        <w:spacing w:lineRule="auto" w:line="312"/>
        <w:ind w:firstLine="567" w:end="0"/>
        <w:jc w:val="both"/>
        <w:rPr>
          <w:i/>
          <w:sz w:val="28"/>
          <w:szCs w:val="28"/>
        </w:rPr>
      </w:pPr>
      <w:r>
        <w:rPr>
          <w:i/>
          <w:sz w:val="28"/>
          <w:szCs w:val="28"/>
        </w:rPr>
        <w:t>Căn cứ Luật Quản lý, sử dụng tài sản công ngày 21/6/2017;</w:t>
      </w:r>
    </w:p>
    <w:p>
      <w:pPr>
        <w:pStyle w:val="Normal"/>
        <w:spacing w:lineRule="auto" w:line="312"/>
        <w:ind w:firstLine="567" w:end="0"/>
        <w:jc w:val="both"/>
        <w:rPr>
          <w:i/>
          <w:sz w:val="28"/>
          <w:szCs w:val="28"/>
        </w:rPr>
      </w:pPr>
      <w:r>
        <w:rPr>
          <w:i/>
          <w:sz w:val="28"/>
          <w:szCs w:val="28"/>
        </w:rPr>
        <w:t>Căn cứ Nghị định số 214/2025/NĐ-CP ngày 04/8/2025 của Chính phủ quy định chi tiết một số điều và biện pháp thi hành Luật Đấu thầu về lựa chọn nhà thầu;</w:t>
      </w:r>
    </w:p>
    <w:p>
      <w:pPr>
        <w:pStyle w:val="Normal"/>
        <w:spacing w:lineRule="auto" w:line="312"/>
        <w:ind w:firstLine="567" w:end="0"/>
        <w:jc w:val="both"/>
        <w:rPr>
          <w:i/>
          <w:sz w:val="28"/>
          <w:szCs w:val="28"/>
        </w:rPr>
      </w:pPr>
      <w:r>
        <w:rPr>
          <w:i/>
          <w:sz w:val="28"/>
          <w:szCs w:val="28"/>
        </w:rPr>
        <w:t>Căn cứ Nghị định số 96/2023/NĐ-CP ngày 30/12/2023 của Chính phủ quy định chi tiết một số điều của Luật khám bệnh, chữa bệnh;</w:t>
      </w:r>
    </w:p>
    <w:p>
      <w:pPr>
        <w:pStyle w:val="Normal"/>
        <w:spacing w:lineRule="auto" w:line="312"/>
        <w:ind w:firstLine="567" w:end="0"/>
        <w:jc w:val="both"/>
        <w:rPr>
          <w:i/>
          <w:sz w:val="28"/>
          <w:szCs w:val="28"/>
        </w:rPr>
      </w:pPr>
      <w:r>
        <w:rPr>
          <w:i/>
          <w:sz w:val="28"/>
          <w:szCs w:val="28"/>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pPr>
        <w:pStyle w:val="Normal"/>
        <w:spacing w:lineRule="auto" w:line="312"/>
        <w:ind w:firstLine="567" w:end="0"/>
        <w:jc w:val="both"/>
        <w:rPr>
          <w:i/>
          <w:sz w:val="28"/>
          <w:szCs w:val="28"/>
        </w:rPr>
      </w:pPr>
      <w:r>
        <w:rPr>
          <w:i/>
          <w:sz w:val="28"/>
          <w:szCs w:val="28"/>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pStyle w:val="Normal"/>
        <w:spacing w:lineRule="auto" w:line="312"/>
        <w:ind w:firstLine="567" w:end="0"/>
        <w:jc w:val="both"/>
        <w:rPr>
          <w:i/>
          <w:sz w:val="28"/>
          <w:szCs w:val="28"/>
        </w:rPr>
      </w:pPr>
      <w:r>
        <w:rPr>
          <w:i/>
          <w:sz w:val="28"/>
          <w:szCs w:val="28"/>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spacing w:lineRule="auto" w:line="312"/>
        <w:ind w:firstLine="567" w:end="0"/>
        <w:jc w:val="both"/>
        <w:rPr>
          <w:i/>
          <w:sz w:val="28"/>
          <w:szCs w:val="28"/>
        </w:rPr>
      </w:pPr>
      <w:r>
        <w:rPr>
          <w:i/>
          <w:sz w:val="28"/>
          <w:szCs w:val="28"/>
        </w:rPr>
        <w:t xml:space="preserve">Căn cứ Nghị định số 186/2025/NĐ-CP ngày 01/7/2025 của Chính phủ quy định chi tiết một số điều của Luật Quản lý, sử dụng tài sản công; </w:t>
      </w:r>
    </w:p>
    <w:p>
      <w:pPr>
        <w:pStyle w:val="Normal"/>
        <w:spacing w:lineRule="auto" w:line="312"/>
        <w:ind w:firstLine="567" w:end="0"/>
        <w:jc w:val="both"/>
        <w:rPr>
          <w:i/>
          <w:sz w:val="28"/>
          <w:szCs w:val="28"/>
        </w:rPr>
      </w:pPr>
      <w:r>
        <w:rPr>
          <w:i/>
          <w:sz w:val="28"/>
          <w:szCs w:val="28"/>
        </w:rPr>
        <w:t>Căn cứ Thông tư số 79/2025/TT-BTC ngày 04/8/2025 của Bộ tài chính hướng dẫn việc cung cấp, đăng tải thông tin về đấu thầu và mẫu hồ sơ đấu thầu trên Hệ thống mạng đấu thầu quốc gia;</w:t>
      </w:r>
    </w:p>
    <w:p>
      <w:pPr>
        <w:pStyle w:val="Normal"/>
        <w:spacing w:lineRule="auto" w:line="312"/>
        <w:ind w:firstLine="567" w:end="0"/>
        <w:jc w:val="both"/>
        <w:rPr>
          <w:i/>
          <w:sz w:val="28"/>
          <w:szCs w:val="28"/>
        </w:rPr>
      </w:pPr>
      <w:r>
        <w:rPr>
          <w:i/>
          <w:sz w:val="28"/>
          <w:szCs w:val="28"/>
          <w:lang w:val="nl-NL"/>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hoá, dịch vụ; sửa chữa, cải tạo, nâng cấp, mở rộng, xây dựng mới hạng mục công trình trong các dự án đã đầu tư xây dựng thuộc phạm vi quản lý của tỉnh Phú Thọ</w:t>
      </w:r>
    </w:p>
    <w:p>
      <w:pPr>
        <w:pStyle w:val="Normal"/>
        <w:spacing w:lineRule="auto" w:line="312"/>
        <w:ind w:firstLine="567" w:end="0"/>
        <w:jc w:val="both"/>
        <w:rPr>
          <w:i/>
          <w:sz w:val="28"/>
          <w:szCs w:val="28"/>
          <w:lang w:val="nl-NL"/>
        </w:rPr>
      </w:pPr>
      <w:r>
        <w:rPr>
          <w:i/>
          <w:sz w:val="28"/>
          <w:szCs w:val="28"/>
          <w:lang w:val="nl-NL"/>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spacing w:lineRule="auto" w:line="312"/>
        <w:ind w:firstLine="567" w:end="0"/>
        <w:jc w:val="both"/>
        <w:rPr>
          <w:i/>
          <w:sz w:val="28"/>
          <w:szCs w:val="28"/>
        </w:rPr>
      </w:pPr>
      <w:r>
        <w:rPr>
          <w:i/>
          <w:sz w:val="28"/>
          <w:szCs w:val="28"/>
          <w:lang w:val="nl-NL"/>
        </w:rPr>
        <w:t xml:space="preserve">Quyết định số 47/2025/QĐ-CTUBND ngày 25/9/2025 của Chủ tịch UBND tỉnh Phú Thọ </w:t>
      </w:r>
      <w:bookmarkStart w:id="1" w:name="loai_1_name"/>
      <w:r>
        <w:rPr>
          <w:i/>
          <w:sz w:val="28"/>
          <w:szCs w:val="28"/>
          <w:lang w:val="nl-NL"/>
        </w:rPr>
        <w:t>phân cấp thẩm quyền của Chủ tịch Ủy ban nhân dân tỉnh cho người đứng đầu cơ quan, đơn vị trực thuộc thực hiện một số nội dung quản lý đầu tư công trên địa bàn tỉnh Phú Thọ</w:t>
      </w:r>
      <w:bookmarkEnd w:id="1"/>
      <w:r>
        <w:rPr>
          <w:i/>
          <w:sz w:val="28"/>
          <w:szCs w:val="28"/>
        </w:rPr>
        <w:t>;</w:t>
      </w:r>
    </w:p>
    <w:p>
      <w:pPr>
        <w:pStyle w:val="Normal"/>
        <w:spacing w:lineRule="auto" w:line="312"/>
        <w:ind w:firstLine="567" w:end="0"/>
        <w:jc w:val="both"/>
        <w:rPr>
          <w:i/>
          <w:sz w:val="28"/>
          <w:szCs w:val="28"/>
        </w:rPr>
      </w:pPr>
      <w:r>
        <w:rPr>
          <w:i/>
          <w:sz w:val="28"/>
          <w:szCs w:val="28"/>
        </w:rPr>
        <w:t>Căn cứ Quyết định số 2005/QĐ-UBND ngày 05/12/2025 của UBND tỉnh Phú Thọ về việc giao quyền tự chủ tài chính cho các đơn vị sự nghiệp công lập lĩnh vực y tế khổi tỉnh quản lý giai đoạn 2026-2030;</w:t>
      </w:r>
    </w:p>
    <w:p>
      <w:pPr>
        <w:pStyle w:val="Normal"/>
        <w:spacing w:lineRule="auto" w:line="312"/>
        <w:ind w:firstLine="567" w:end="0"/>
        <w:jc w:val="both"/>
        <w:rPr>
          <w:i/>
          <w:sz w:val="28"/>
          <w:szCs w:val="28"/>
        </w:rPr>
      </w:pPr>
      <w:r>
        <w:rPr>
          <w:i/>
          <w:sz w:val="28"/>
          <w:szCs w:val="28"/>
        </w:rPr>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w:pPr>
        <w:pStyle w:val="Normal"/>
        <w:spacing w:lineRule="auto" w:line="312"/>
        <w:ind w:firstLine="567" w:end="0"/>
        <w:jc w:val="both"/>
        <w:rPr>
          <w:i/>
          <w:sz w:val="28"/>
          <w:szCs w:val="28"/>
        </w:rPr>
      </w:pPr>
      <w:r>
        <w:rPr>
          <w:i/>
          <w:sz w:val="28"/>
          <w:szCs w:val="28"/>
        </w:rPr>
        <w:t>Căn cứ Văn bản số 4203/SYT-KHTC ngày 25/12/2024 của Sở Y tế Phú Thọ về việc hướng dẫn một số nội dung về quản lý, sử dụng tài sản công;</w:t>
      </w:r>
    </w:p>
    <w:p>
      <w:pPr>
        <w:pStyle w:val="Normal"/>
        <w:spacing w:lineRule="auto" w:line="312"/>
        <w:ind w:firstLine="567" w:end="0"/>
        <w:jc w:val="both"/>
        <w:rPr>
          <w:i/>
          <w:sz w:val="28"/>
          <w:szCs w:val="28"/>
        </w:rPr>
      </w:pPr>
      <w:r>
        <w:rPr>
          <w:i/>
          <w:sz w:val="28"/>
          <w:szCs w:val="28"/>
        </w:rPr>
        <w:t>Căn cứ Quyết định số 2054/QĐ-BV ngày 20/04/2026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pStyle w:val="Normal"/>
        <w:spacing w:lineRule="auto" w:line="312"/>
        <w:ind w:firstLine="567" w:end="0"/>
        <w:jc w:val="both"/>
        <w:rPr>
          <w:i/>
          <w:sz w:val="28"/>
          <w:szCs w:val="28"/>
        </w:rPr>
      </w:pPr>
      <w:r>
        <w:rPr>
          <w:i/>
          <w:sz w:val="28"/>
          <w:szCs w:val="28"/>
        </w:rPr>
        <w:t xml:space="preserve">Căn cứ Quyết định số 1191/QĐ-BV ngày 16/03/2026 của Giám đốc Bệnh viện đa khoa tỉnh Phú Thọ về việc phê duyệt chủ trương đầu tư </w:t>
      </w:r>
      <w:r>
        <w:rPr>
          <w:bCs/>
          <w:i/>
          <w:iCs/>
          <w:color w:val="000000"/>
          <w:sz w:val="28"/>
          <w:szCs w:val="28"/>
        </w:rPr>
        <w:t>m</w:t>
      </w:r>
      <w:r>
        <w:rPr>
          <w:rFonts w:eastAsia="Calibri"/>
          <w:i/>
          <w:iCs/>
          <w:color w:val="000000"/>
          <w:kern w:val="2"/>
          <w:sz w:val="28"/>
          <w:szCs w:val="28"/>
        </w:rPr>
        <w:t>ua sắm</w:t>
      </w:r>
      <w:r>
        <w:rPr>
          <w:bCs/>
          <w:i/>
          <w:iCs/>
          <w:color w:val="000000"/>
          <w:sz w:val="28"/>
          <w:szCs w:val="28"/>
        </w:rPr>
        <w:t xml:space="preserve"> </w:t>
      </w:r>
      <w:r>
        <w:rPr>
          <w:bCs/>
          <w:i/>
          <w:iCs/>
          <w:color w:val="000000"/>
          <w:sz w:val="28"/>
          <w:szCs w:val="28"/>
          <w:lang w:val="vi-VN"/>
        </w:rPr>
        <w:t>băng ghim và dụng cụ cắt khâu nối dùng trong phẫu thuật phục vụ công tác chuyên môn tại Bệnh viện đa khoa tỉnh Phú Thọ</w:t>
      </w:r>
      <w:r>
        <w:rPr>
          <w:i/>
          <w:sz w:val="28"/>
          <w:szCs w:val="28"/>
        </w:rPr>
        <w:t>;</w:t>
      </w:r>
    </w:p>
    <w:p>
      <w:pPr>
        <w:pStyle w:val="Normal"/>
        <w:spacing w:lineRule="auto" w:line="312"/>
        <w:ind w:firstLine="567" w:end="0"/>
        <w:jc w:val="both"/>
        <w:rPr>
          <w:i/>
          <w:sz w:val="28"/>
          <w:szCs w:val="28"/>
        </w:rPr>
      </w:pPr>
      <w:r>
        <w:rPr>
          <w:i/>
          <w:sz w:val="28"/>
          <w:szCs w:val="28"/>
        </w:rPr>
        <w:t xml:space="preserve">Căn cứ Quyết định số 2285/QĐ-BV ngày 06/05/2026 của Giám đốc Bệnh viện đa khoa tỉnh Phú Thọ về việc phê duyệt kế hoạch lựa chọn nhà thầu dự toán mua sắm: </w:t>
      </w:r>
      <w:r>
        <w:rPr>
          <w:bCs/>
          <w:i/>
          <w:iCs/>
          <w:color w:val="000000"/>
          <w:sz w:val="28"/>
          <w:szCs w:val="28"/>
        </w:rPr>
        <w:t>M</w:t>
      </w:r>
      <w:r>
        <w:rPr>
          <w:rFonts w:eastAsia="Calibri"/>
          <w:i/>
          <w:iCs/>
          <w:color w:val="000000"/>
          <w:kern w:val="2"/>
          <w:sz w:val="28"/>
          <w:szCs w:val="28"/>
        </w:rPr>
        <w:t>ua sắm</w:t>
      </w:r>
      <w:r>
        <w:rPr>
          <w:bCs/>
          <w:i/>
          <w:iCs/>
          <w:color w:val="000000"/>
          <w:sz w:val="28"/>
          <w:szCs w:val="28"/>
        </w:rPr>
        <w:t xml:space="preserve"> </w:t>
      </w:r>
      <w:r>
        <w:rPr>
          <w:bCs/>
          <w:i/>
          <w:iCs/>
          <w:color w:val="000000"/>
          <w:sz w:val="28"/>
          <w:szCs w:val="28"/>
          <w:lang w:val="vi-VN"/>
        </w:rPr>
        <w:t>băng ghim và dụng cụ cắt khâu nối dùng trong phẫu thuật phục vụ công tác chuyên môn tại Bệnh viện đa khoa tỉnh Phú Thọ</w:t>
      </w:r>
      <w:r>
        <w:rPr>
          <w:i/>
          <w:sz w:val="28"/>
          <w:szCs w:val="28"/>
        </w:rPr>
        <w:t>;</w:t>
      </w:r>
    </w:p>
    <w:p>
      <w:pPr>
        <w:pStyle w:val="Normal"/>
        <w:spacing w:lineRule="auto" w:line="312"/>
        <w:ind w:firstLine="567" w:end="0"/>
        <w:jc w:val="both"/>
        <w:rPr>
          <w:i/>
          <w:sz w:val="28"/>
          <w:szCs w:val="28"/>
        </w:rPr>
      </w:pPr>
      <w:r>
        <w:rPr>
          <w:i/>
          <w:sz w:val="28"/>
          <w:szCs w:val="28"/>
        </w:rPr>
        <w:t xml:space="preserve">Căn cứ kết quả chào giá trực tuyến trên Hệ thống mạng đấu thầu quốc gia của gói thầu: </w:t>
      </w:r>
      <w:r>
        <w:rPr>
          <w:bCs/>
          <w:i/>
          <w:iCs/>
          <w:color w:val="000000"/>
          <w:sz w:val="28"/>
          <w:szCs w:val="28"/>
        </w:rPr>
        <w:t>m</w:t>
      </w:r>
      <w:r>
        <w:rPr>
          <w:rFonts w:eastAsia="Calibri"/>
          <w:i/>
          <w:iCs/>
          <w:color w:val="000000"/>
          <w:kern w:val="2"/>
          <w:sz w:val="28"/>
          <w:szCs w:val="28"/>
        </w:rPr>
        <w:t>ua sắm</w:t>
      </w:r>
      <w:r>
        <w:rPr>
          <w:bCs/>
          <w:i/>
          <w:iCs/>
          <w:color w:val="000000"/>
          <w:sz w:val="28"/>
          <w:szCs w:val="28"/>
        </w:rPr>
        <w:t xml:space="preserve"> </w:t>
      </w:r>
      <w:r>
        <w:rPr>
          <w:bCs/>
          <w:i/>
          <w:iCs/>
          <w:color w:val="000000"/>
          <w:sz w:val="28"/>
          <w:szCs w:val="28"/>
          <w:lang w:val="vi-VN"/>
        </w:rPr>
        <w:t>băng ghim và dụng cụ cắt khâu nối dùng trong phẫu thuật phục vụ công tác chuyên môn tại Bệnh viện đa khoa tỉnh Phú Thọ</w:t>
      </w:r>
      <w:r>
        <w:rPr>
          <w:i/>
          <w:sz w:val="28"/>
          <w:szCs w:val="28"/>
        </w:rPr>
        <w:t xml:space="preserve"> (số E-TBMT: IB2600194428) thuộc kế hoạch lựa chọn nhà thầu dự toán mua sắm: </w:t>
      </w:r>
      <w:r>
        <w:rPr>
          <w:bCs/>
          <w:i/>
          <w:iCs/>
          <w:color w:val="000000"/>
          <w:sz w:val="28"/>
          <w:szCs w:val="28"/>
        </w:rPr>
        <w:t>M</w:t>
      </w:r>
      <w:r>
        <w:rPr>
          <w:rFonts w:eastAsia="Calibri"/>
          <w:i/>
          <w:iCs/>
          <w:color w:val="000000"/>
          <w:kern w:val="2"/>
          <w:sz w:val="28"/>
          <w:szCs w:val="28"/>
        </w:rPr>
        <w:t>ua sắm</w:t>
      </w:r>
      <w:r>
        <w:rPr>
          <w:bCs/>
          <w:i/>
          <w:iCs/>
          <w:color w:val="000000"/>
          <w:sz w:val="28"/>
          <w:szCs w:val="28"/>
        </w:rPr>
        <w:t xml:space="preserve"> </w:t>
      </w:r>
      <w:r>
        <w:rPr>
          <w:bCs/>
          <w:i/>
          <w:iCs/>
          <w:color w:val="000000"/>
          <w:sz w:val="28"/>
          <w:szCs w:val="28"/>
          <w:lang w:val="vi-VN"/>
        </w:rPr>
        <w:t>băng ghim và dụng cụ cắt khâu nối dùng trong phẫu thuật phục vụ công tác chuyên môn tại Bệnh viện đa khoa tỉnh Phú Thọ</w:t>
      </w:r>
      <w:r>
        <w:rPr>
          <w:i/>
          <w:sz w:val="28"/>
          <w:szCs w:val="28"/>
        </w:rPr>
        <w:t xml:space="preserve"> ngày 13/05/2026;</w:t>
      </w:r>
    </w:p>
    <w:p>
      <w:pPr>
        <w:pStyle w:val="Normal"/>
        <w:spacing w:lineRule="auto" w:line="312"/>
        <w:ind w:firstLine="567" w:end="0"/>
        <w:jc w:val="both"/>
        <w:rPr>
          <w:i/>
          <w:sz w:val="28"/>
          <w:szCs w:val="28"/>
        </w:rPr>
      </w:pPr>
      <w:r>
        <w:rPr>
          <w:i/>
          <w:sz w:val="28"/>
          <w:szCs w:val="28"/>
        </w:rPr>
        <w:t xml:space="preserve">Căn cứ xác nhận chấp thuận được trao hợp đồng của </w:t>
      </w:r>
      <w:r>
        <w:rPr>
          <w:i/>
          <w:sz w:val="28"/>
          <w:szCs w:val="28"/>
          <w:lang w:val="vi-VN"/>
        </w:rPr>
        <w:t>Công ty TNHH thương mại và dịch vụ Thống Nhất</w:t>
      </w:r>
      <w:r>
        <w:rPr>
          <w:i/>
          <w:sz w:val="28"/>
          <w:szCs w:val="28"/>
        </w:rPr>
        <w:t xml:space="preserve"> trên Hệ thống mạng đấu thầu quốc gia ngày 15/05/2026;</w:t>
      </w:r>
    </w:p>
    <w:p>
      <w:pPr>
        <w:pStyle w:val="Normal"/>
        <w:spacing w:lineRule="auto" w:line="312"/>
        <w:ind w:firstLine="567" w:end="0"/>
        <w:jc w:val="both"/>
        <w:rPr>
          <w:i/>
          <w:szCs w:val="26"/>
        </w:rPr>
      </w:pPr>
      <w:bookmarkEnd w:id="0"/>
      <w:r>
        <w:rPr>
          <w:i/>
          <w:sz w:val="28"/>
          <w:szCs w:val="28"/>
        </w:rPr>
        <w:t>Xét</w:t>
      </w:r>
      <w:r>
        <w:rPr>
          <w:i/>
          <w:sz w:val="28"/>
          <w:szCs w:val="28"/>
          <w:lang w:val="nl-NL"/>
        </w:rPr>
        <w:t xml:space="preserve"> đề nghị của Tổ chuyên gia</w:t>
      </w:r>
      <w:r>
        <w:rPr>
          <w:i/>
          <w:sz w:val="28"/>
          <w:szCs w:val="28"/>
          <w:lang w:val="vi-VN"/>
        </w:rPr>
        <w:t>.</w:t>
      </w:r>
    </w:p>
    <w:p>
      <w:pPr>
        <w:pStyle w:val="Normal"/>
        <w:spacing w:lineRule="auto" w:line="312" w:before="120" w:after="120"/>
        <w:jc w:val="center"/>
        <w:rPr>
          <w:sz w:val="28"/>
          <w:szCs w:val="28"/>
        </w:rPr>
      </w:pPr>
      <w:r>
        <w:rPr>
          <w:b/>
          <w:bCs/>
          <w:sz w:val="28"/>
          <w:szCs w:val="28"/>
          <w:lang w:val="vi-VN"/>
        </w:rPr>
        <w:t>QUYẾT ĐỊNH</w:t>
      </w:r>
      <w:r>
        <w:rPr>
          <w:b/>
          <w:bCs/>
          <w:sz w:val="28"/>
          <w:szCs w:val="28"/>
        </w:rPr>
        <w:t>:</w:t>
      </w:r>
    </w:p>
    <w:p>
      <w:pPr>
        <w:pStyle w:val="Normal"/>
        <w:spacing w:lineRule="auto" w:line="312"/>
        <w:ind w:firstLine="567" w:end="0"/>
        <w:jc w:val="both"/>
        <w:rPr>
          <w:sz w:val="28"/>
          <w:szCs w:val="28"/>
        </w:rPr>
      </w:pPr>
      <w:r>
        <w:rPr>
          <w:b/>
          <w:sz w:val="28"/>
          <w:szCs w:val="28"/>
          <w:lang w:val="nl-NL"/>
        </w:rPr>
        <w:t xml:space="preserve">Điều 1. </w:t>
      </w:r>
      <w:r>
        <w:rPr>
          <w:sz w:val="28"/>
          <w:szCs w:val="28"/>
          <w:lang w:val="nl-NL"/>
        </w:rPr>
        <w:t xml:space="preserve">Phê duyệt kết quả lựa chọn nhà thầu của gói thầu </w:t>
      </w:r>
      <w:r>
        <w:rPr>
          <w:bCs/>
          <w:iCs/>
          <w:color w:val="000000"/>
          <w:sz w:val="28"/>
          <w:szCs w:val="28"/>
        </w:rPr>
        <w:t>m</w:t>
      </w:r>
      <w:r>
        <w:rPr>
          <w:rFonts w:eastAsia="Calibri"/>
          <w:iCs/>
          <w:color w:val="000000"/>
          <w:kern w:val="2"/>
          <w:sz w:val="28"/>
          <w:szCs w:val="28"/>
        </w:rPr>
        <w:t>ua sắm</w:t>
      </w:r>
      <w:r>
        <w:rPr>
          <w:bCs/>
          <w:iCs/>
          <w:color w:val="000000"/>
          <w:sz w:val="28"/>
          <w:szCs w:val="28"/>
        </w:rPr>
        <w:t xml:space="preserve"> </w:t>
      </w:r>
      <w:r>
        <w:rPr>
          <w:bCs/>
          <w:iCs/>
          <w:color w:val="000000"/>
          <w:sz w:val="28"/>
          <w:szCs w:val="28"/>
          <w:lang w:val="vi-VN"/>
        </w:rPr>
        <w:t>băng ghim và dụng cụ cắt khâu nối dùng trong phẫu thuật phục vụ công tác chuyên môn tại Bệnh viện đa khoa tỉnh Phú Thọ</w:t>
      </w:r>
      <w:r>
        <w:rPr>
          <w:sz w:val="28"/>
          <w:szCs w:val="28"/>
        </w:rPr>
        <w:t xml:space="preserve"> thuộc kế hoạch lựa chọn nhà thầu </w:t>
      </w:r>
      <w:r>
        <w:rPr>
          <w:bCs/>
          <w:iCs/>
          <w:color w:val="000000"/>
          <w:sz w:val="28"/>
          <w:szCs w:val="28"/>
        </w:rPr>
        <w:t>m</w:t>
      </w:r>
      <w:r>
        <w:rPr>
          <w:rFonts w:eastAsia="Calibri"/>
          <w:iCs/>
          <w:color w:val="000000"/>
          <w:kern w:val="2"/>
          <w:sz w:val="28"/>
          <w:szCs w:val="28"/>
        </w:rPr>
        <w:t>ua sắm</w:t>
      </w:r>
      <w:r>
        <w:rPr>
          <w:bCs/>
          <w:iCs/>
          <w:color w:val="000000"/>
          <w:sz w:val="28"/>
          <w:szCs w:val="28"/>
        </w:rPr>
        <w:t xml:space="preserve"> </w:t>
      </w:r>
      <w:r>
        <w:rPr>
          <w:bCs/>
          <w:iCs/>
          <w:color w:val="000000"/>
          <w:sz w:val="28"/>
          <w:szCs w:val="28"/>
          <w:lang w:val="vi-VN"/>
        </w:rPr>
        <w:t>băng ghim và dụng cụ cắt khâu nối dùng trong phẫu thuật phục vụ công tác chuyên môn tại Bệnh viện đa khoa tỉnh Phú Thọ</w:t>
      </w:r>
      <w:r>
        <w:rPr>
          <w:sz w:val="28"/>
          <w:szCs w:val="28"/>
        </w:rPr>
        <w:t xml:space="preserve">, bao gồm: </w:t>
      </w:r>
    </w:p>
    <w:p>
      <w:pPr>
        <w:pStyle w:val="Normal"/>
        <w:spacing w:lineRule="auto" w:line="312"/>
        <w:ind w:firstLine="567" w:end="0"/>
        <w:jc w:val="both"/>
        <w:rPr>
          <w:b/>
          <w:bCs/>
          <w:i/>
          <w:sz w:val="28"/>
          <w:szCs w:val="28"/>
          <w:lang w:val="nl-NL"/>
        </w:rPr>
      </w:pPr>
      <w:r>
        <w:rPr>
          <w:b/>
          <w:bCs/>
          <w:i/>
          <w:sz w:val="28"/>
          <w:szCs w:val="28"/>
          <w:lang w:val="nl-NL"/>
        </w:rPr>
        <w:t>1. Thông tin về gói thầu</w:t>
      </w:r>
    </w:p>
    <w:p>
      <w:pPr>
        <w:pStyle w:val="Normal"/>
        <w:spacing w:lineRule="auto" w:line="312"/>
        <w:ind w:firstLine="567" w:end="0"/>
        <w:jc w:val="both"/>
        <w:rPr>
          <w:sz w:val="28"/>
          <w:szCs w:val="28"/>
        </w:rPr>
      </w:pPr>
      <w:r>
        <w:rPr>
          <w:sz w:val="28"/>
          <w:szCs w:val="28"/>
          <w:lang w:val="nl-NL"/>
        </w:rPr>
        <w:t xml:space="preserve">- Số E-TBMT: </w:t>
      </w:r>
      <w:r>
        <w:rPr>
          <w:sz w:val="28"/>
          <w:szCs w:val="28"/>
        </w:rPr>
        <w:t>IB2600194428</w:t>
      </w:r>
    </w:p>
    <w:p>
      <w:pPr>
        <w:pStyle w:val="Normal"/>
        <w:spacing w:lineRule="auto" w:line="312"/>
        <w:ind w:firstLine="567" w:end="0"/>
        <w:jc w:val="both"/>
        <w:rPr>
          <w:sz w:val="28"/>
          <w:szCs w:val="28"/>
        </w:rPr>
      </w:pPr>
      <w:r>
        <w:rPr>
          <w:sz w:val="28"/>
          <w:szCs w:val="28"/>
        </w:rPr>
        <w:t xml:space="preserve">- Tên gói thầu: </w:t>
      </w:r>
      <w:r>
        <w:rPr>
          <w:bCs/>
          <w:iCs/>
          <w:color w:val="000000"/>
          <w:sz w:val="28"/>
          <w:szCs w:val="28"/>
          <w:lang w:val="vi-VN"/>
        </w:rPr>
        <w:t>M</w:t>
      </w:r>
      <w:r>
        <w:rPr>
          <w:rFonts w:eastAsia="Calibri"/>
          <w:iCs/>
          <w:color w:val="000000"/>
          <w:kern w:val="2"/>
          <w:sz w:val="28"/>
          <w:szCs w:val="28"/>
        </w:rPr>
        <w:t>ua sắm</w:t>
      </w:r>
      <w:r>
        <w:rPr>
          <w:bCs/>
          <w:iCs/>
          <w:color w:val="000000"/>
          <w:sz w:val="28"/>
          <w:szCs w:val="28"/>
        </w:rPr>
        <w:t xml:space="preserve"> </w:t>
      </w:r>
      <w:r>
        <w:rPr>
          <w:bCs/>
          <w:iCs/>
          <w:color w:val="000000"/>
          <w:sz w:val="28"/>
          <w:szCs w:val="28"/>
          <w:lang w:val="vi-VN"/>
        </w:rPr>
        <w:t>băng ghim và dụng cụ cắt khâu nối dùng trong phẫu thuật phục vụ công tác chuyên môn tại Bệnh viện đa khoa tỉnh Phú Thọ</w:t>
      </w:r>
      <w:r>
        <w:rPr>
          <w:sz w:val="28"/>
          <w:szCs w:val="28"/>
        </w:rPr>
        <w:t>.</w:t>
      </w:r>
    </w:p>
    <w:p>
      <w:pPr>
        <w:pStyle w:val="Normal"/>
        <w:spacing w:lineRule="auto" w:line="312"/>
        <w:ind w:firstLine="567" w:end="0"/>
        <w:jc w:val="both"/>
        <w:rPr>
          <w:sz w:val="28"/>
          <w:szCs w:val="28"/>
        </w:rPr>
      </w:pPr>
      <w:r>
        <w:rPr>
          <w:sz w:val="28"/>
          <w:szCs w:val="28"/>
        </w:rPr>
        <w:t xml:space="preserve">- Giá gói thầu: 1.999.950.000VND (Bằng chữ: </w:t>
      </w:r>
      <w:r>
        <w:rPr>
          <w:sz w:val="28"/>
          <w:szCs w:val="28"/>
          <w:lang w:val="vi-VN"/>
        </w:rPr>
        <w:t>Một tỷ chín trăm chín mươi chín triệu chín trăm năm mươi nghìn đồng</w:t>
      </w:r>
      <w:r>
        <w:rPr>
          <w:sz w:val="28"/>
          <w:szCs w:val="28"/>
        </w:rPr>
        <w:t>).</w:t>
      </w:r>
    </w:p>
    <w:p>
      <w:pPr>
        <w:pStyle w:val="Normal"/>
        <w:spacing w:lineRule="auto" w:line="312"/>
        <w:ind w:firstLine="567" w:end="0"/>
        <w:jc w:val="both"/>
        <w:rPr>
          <w:iCs/>
          <w:sz w:val="28"/>
          <w:szCs w:val="28"/>
          <w:lang w:val="es-ES"/>
        </w:rPr>
      </w:pPr>
      <w:r>
        <w:rPr>
          <w:iCs/>
          <w:sz w:val="28"/>
          <w:szCs w:val="28"/>
          <w:lang w:val="es-ES"/>
        </w:rPr>
        <w:t>- Tên chủ đầu tư: Bệnh viện đa khoa tỉnh Phú Thọ.</w:t>
      </w:r>
    </w:p>
    <w:p>
      <w:pPr>
        <w:pStyle w:val="Normal"/>
        <w:spacing w:lineRule="auto" w:line="312"/>
        <w:ind w:firstLine="567" w:end="0"/>
        <w:jc w:val="both"/>
        <w:rPr>
          <w:iCs/>
          <w:sz w:val="28"/>
          <w:szCs w:val="28"/>
          <w:lang w:val="es-ES"/>
        </w:rPr>
      </w:pPr>
      <w:r>
        <w:rPr>
          <w:iCs/>
          <w:sz w:val="28"/>
          <w:szCs w:val="28"/>
          <w:lang w:val="es-ES"/>
        </w:rPr>
        <w:t xml:space="preserve">- Hình thức lựa chọn nhà thầu: </w:t>
      </w:r>
      <w:r>
        <w:rPr>
          <w:sz w:val="28"/>
          <w:szCs w:val="28"/>
          <w:lang w:val="sv-SE"/>
        </w:rPr>
        <w:t>Chào giá trực tuyến rút gọn</w:t>
      </w:r>
      <w:r>
        <w:rPr>
          <w:sz w:val="28"/>
          <w:szCs w:val="28"/>
          <w:lang w:val="pt-BR"/>
        </w:rPr>
        <w:t>.</w:t>
      </w:r>
    </w:p>
    <w:p>
      <w:pPr>
        <w:pStyle w:val="Normal"/>
        <w:spacing w:lineRule="auto" w:line="312"/>
        <w:ind w:firstLine="567" w:end="0"/>
        <w:jc w:val="both"/>
        <w:rPr>
          <w:iCs/>
          <w:sz w:val="28"/>
          <w:szCs w:val="28"/>
          <w:lang w:val="es-ES"/>
        </w:rPr>
      </w:pPr>
      <w:r>
        <w:rPr>
          <w:iCs/>
          <w:sz w:val="28"/>
          <w:szCs w:val="28"/>
          <w:lang w:val="es-ES"/>
        </w:rPr>
        <w:t xml:space="preserve">- Loại hợp đồng: </w:t>
      </w:r>
      <w:r>
        <w:rPr>
          <w:sz w:val="28"/>
          <w:szCs w:val="28"/>
          <w:lang w:val="pt-BR"/>
        </w:rPr>
        <w:t>Hợp đồng trọn gói.</w:t>
      </w:r>
    </w:p>
    <w:p>
      <w:pPr>
        <w:pStyle w:val="Normal"/>
        <w:spacing w:lineRule="auto" w:line="312"/>
        <w:ind w:firstLine="567" w:end="0"/>
        <w:jc w:val="both"/>
        <w:rPr>
          <w:sz w:val="28"/>
          <w:szCs w:val="28"/>
          <w:lang w:val="pt-BR"/>
        </w:rPr>
      </w:pPr>
      <w:r>
        <w:rPr>
          <w:iCs/>
          <w:sz w:val="28"/>
          <w:szCs w:val="28"/>
          <w:lang w:val="es-ES"/>
        </w:rPr>
        <w:t xml:space="preserve">- Thời gian thực hiện hợp đồng: </w:t>
      </w:r>
      <w:r>
        <w:rPr>
          <w:sz w:val="28"/>
          <w:szCs w:val="28"/>
          <w:lang w:val="pt-BR"/>
        </w:rPr>
        <w:t>120 ngày.</w:t>
      </w:r>
    </w:p>
    <w:p>
      <w:pPr>
        <w:pStyle w:val="Normal"/>
        <w:spacing w:lineRule="auto" w:line="312"/>
        <w:ind w:firstLine="567" w:end="0"/>
        <w:jc w:val="both"/>
        <w:rPr>
          <w:b/>
          <w:bCs/>
          <w:i/>
          <w:sz w:val="28"/>
          <w:szCs w:val="28"/>
          <w:lang w:val="pt-BR"/>
        </w:rPr>
      </w:pPr>
      <w:r>
        <w:rPr>
          <w:b/>
          <w:bCs/>
          <w:i/>
          <w:sz w:val="28"/>
          <w:szCs w:val="28"/>
          <w:lang w:val="pt-BR"/>
        </w:rPr>
        <w:t xml:space="preserve">2. </w:t>
      </w:r>
      <w:r>
        <w:rPr/>
        <w:t>Thông tin về nhà thầu trúng thầu</w:t>
      </w:r>
    </w:p>
    <w:tbl>
      <w:tblPr>
        <w:tblW w:w="11199" w:type="dxa"/>
        <w:jc w:val="left"/>
        <w:tblInd w:w="-1168" w:type="dxa"/>
        <w:tblLayout w:type="fixed"/>
        <w:tblCellMar>
          <w:top w:w="0" w:type="dxa"/>
          <w:start w:w="108" w:type="dxa"/>
          <w:bottom w:w="0" w:type="dxa"/>
          <w:end w:w="108" w:type="dxa"/>
        </w:tblCellMar>
      </w:tblPr>
      <w:tblGrid>
        <w:gridCol w:w="425"/>
        <w:gridCol w:w="1277"/>
        <w:gridCol w:w="1559"/>
        <w:gridCol w:w="1418"/>
        <w:gridCol w:w="1417"/>
        <w:gridCol w:w="709"/>
        <w:gridCol w:w="709"/>
        <w:gridCol w:w="1417"/>
        <w:gridCol w:w="709"/>
        <w:gridCol w:w="708"/>
        <w:gridCol w:w="851"/>
      </w:tblGrid>
      <w:tr>
        <w:trPr>
          <w:trHeight w:val="2386" w:hRule="atLeast"/>
        </w:trPr>
        <w:tc>
          <w:tcPr>
            <w:tcW w:w="4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TT</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Tên nhà thầu</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Mã nhà thầu</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Giá dự thầu (VND)</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Giá dự thầu sau hiệu chỉnh sai lệch thừa (nếu có), giảm giá (nếu có) (VND)</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Điểm kỹ thuật (nếu có)</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Giá đánh giá (nếu có)</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Giá trúng thầu (VND)</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Thời gian thực hiện gói thầu</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Thời gian thực hiện hợp đồng</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12"/>
              <w:jc w:val="center"/>
              <w:rPr>
                <w:b/>
                <w:bCs/>
                <w:sz w:val="20"/>
                <w:lang w:val="nb-NO"/>
              </w:rPr>
            </w:pPr>
            <w:r>
              <w:rPr>
                <w:b/>
                <w:bCs/>
                <w:sz w:val="20"/>
                <w:lang w:val="nb-NO"/>
              </w:rPr>
              <w:t>Các nội dung khác (nếu có)</w:t>
            </w:r>
          </w:p>
        </w:tc>
      </w:tr>
      <w:tr>
        <w:trPr>
          <w:trHeight w:val="1976" w:hRule="atLeast"/>
        </w:trPr>
        <w:tc>
          <w:tcPr>
            <w:tcW w:w="4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60" w:after="60"/>
              <w:jc w:val="center"/>
              <w:rPr>
                <w:sz w:val="20"/>
                <w:lang w:val="nb-NO"/>
              </w:rPr>
            </w:pPr>
            <w:r>
              <w:rPr>
                <w:sz w:val="20"/>
                <w:lang w:val="nb-NO"/>
              </w:rPr>
              <w:t>1</w:t>
            </w:r>
          </w:p>
        </w:tc>
        <w:tc>
          <w:tcPr>
            <w:tcW w:w="127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60" w:after="60"/>
              <w:jc w:val="center"/>
              <w:rPr>
                <w:sz w:val="20"/>
                <w:lang w:val="nb-NO"/>
              </w:rPr>
            </w:pPr>
            <w:r>
              <w:rPr>
                <w:sz w:val="20"/>
                <w:lang w:val="nl-NL"/>
              </w:rPr>
              <w:t xml:space="preserve">Công ty </w:t>
            </w:r>
            <w:r>
              <w:rPr>
                <w:sz w:val="20"/>
              </w:rPr>
              <w:t>TNHH thương mại kỹ thuật và dịch vụ Thống Nhất</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60" w:after="60"/>
              <w:jc w:val="both"/>
              <w:rPr>
                <w:sz w:val="20"/>
                <w:highlight w:val="yellow"/>
                <w:lang w:val="vi-VN"/>
              </w:rPr>
            </w:pPr>
            <w:r>
              <w:rPr>
                <w:sz w:val="20"/>
                <w:lang w:val="pt-BR"/>
              </w:rPr>
              <w:t>vn0106606464</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60" w:after="60"/>
              <w:jc w:val="center"/>
              <w:rPr>
                <w:sz w:val="20"/>
                <w:lang w:val="vi-VN"/>
              </w:rPr>
            </w:pPr>
            <w:r>
              <w:rPr>
                <w:sz w:val="20"/>
                <w:lang w:val="vi-VN"/>
              </w:rPr>
              <w:t>1.988.950.000</w:t>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60" w:after="60"/>
              <w:jc w:val="center"/>
              <w:rPr>
                <w:sz w:val="20"/>
                <w:lang w:val="vi-VN"/>
              </w:rPr>
            </w:pPr>
            <w:r>
              <w:rPr>
                <w:sz w:val="20"/>
                <w:lang w:val="vi-VN"/>
              </w:rPr>
              <w:t>1.988.950.000</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before="60" w:after="60"/>
              <w:jc w:val="center"/>
              <w:rPr>
                <w:sz w:val="20"/>
                <w:lang w:val="nb-NO"/>
              </w:rPr>
            </w:pPr>
            <w:r>
              <w:rPr>
                <w:sz w:val="20"/>
                <w:lang w:val="nb-NO"/>
              </w:rPr>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before="60" w:after="60"/>
              <w:jc w:val="center"/>
              <w:rPr>
                <w:sz w:val="20"/>
                <w:lang w:val="nb-NO"/>
              </w:rPr>
            </w:pPr>
            <w:r>
              <w:rPr>
                <w:sz w:val="20"/>
                <w:lang w:val="nb-NO"/>
              </w:rPr>
            </w:r>
          </w:p>
        </w:tc>
        <w:tc>
          <w:tcPr>
            <w:tcW w:w="141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60" w:after="60"/>
              <w:jc w:val="center"/>
              <w:rPr>
                <w:sz w:val="20"/>
                <w:lang w:val="vi-VN"/>
              </w:rPr>
            </w:pPr>
            <w:r>
              <w:rPr>
                <w:sz w:val="20"/>
                <w:lang w:val="vi-VN"/>
              </w:rPr>
              <w:t>1.988.950.000</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60" w:after="60"/>
              <w:jc w:val="center"/>
              <w:rPr>
                <w:sz w:val="20"/>
                <w:lang w:val="nb-NO"/>
              </w:rPr>
            </w:pPr>
            <w:r>
              <w:rPr>
                <w:sz w:val="20"/>
                <w:lang w:val="nb-NO"/>
              </w:rPr>
              <w:t>120 ngày</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60" w:after="60"/>
              <w:jc w:val="center"/>
              <w:rPr>
                <w:sz w:val="20"/>
                <w:lang w:val="nb-NO"/>
              </w:rPr>
            </w:pPr>
            <w:r>
              <w:rPr>
                <w:sz w:val="20"/>
                <w:lang w:val="nb-NO"/>
              </w:rPr>
              <w:t>120 ngày</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before="60" w:after="60"/>
              <w:jc w:val="center"/>
              <w:rPr>
                <w:sz w:val="20"/>
                <w:lang w:val="nb-NO"/>
              </w:rPr>
            </w:pPr>
            <w:r>
              <w:rPr>
                <w:sz w:val="20"/>
                <w:lang w:val="nb-NO"/>
              </w:rPr>
              <w:t>Không có</w:t>
            </w:r>
          </w:p>
        </w:tc>
      </w:tr>
    </w:tbl>
    <w:p>
      <w:pPr>
        <w:pStyle w:val="Normal"/>
        <w:spacing w:lineRule="auto" w:line="312" w:before="240" w:after="0"/>
        <w:ind w:start="567" w:end="0"/>
        <w:jc w:val="both"/>
        <w:rPr>
          <w:b/>
          <w:bCs/>
          <w:i/>
          <w:sz w:val="28"/>
          <w:szCs w:val="28"/>
        </w:rPr>
      </w:pPr>
      <w:r>
        <w:rPr>
          <w:b/>
          <w:bCs/>
          <w:i/>
          <w:sz w:val="28"/>
          <w:szCs w:val="28"/>
        </w:rPr>
        <w:t>3. Thông tin về hàng hóa, thiết bị trúng thầu</w:t>
      </w:r>
    </w:p>
    <w:tbl>
      <w:tblPr>
        <w:tblW w:w="11143" w:type="dxa"/>
        <w:jc w:val="left"/>
        <w:tblInd w:w="-1168" w:type="dxa"/>
        <w:tblLayout w:type="fixed"/>
        <w:tblCellMar>
          <w:top w:w="0" w:type="dxa"/>
          <w:start w:w="108" w:type="dxa"/>
          <w:bottom w:w="0" w:type="dxa"/>
          <w:end w:w="108" w:type="dxa"/>
        </w:tblCellMar>
      </w:tblPr>
      <w:tblGrid>
        <w:gridCol w:w="425"/>
        <w:gridCol w:w="993"/>
        <w:gridCol w:w="851"/>
        <w:gridCol w:w="1134"/>
        <w:gridCol w:w="708"/>
        <w:gridCol w:w="671"/>
        <w:gridCol w:w="889"/>
        <w:gridCol w:w="2002"/>
        <w:gridCol w:w="709"/>
        <w:gridCol w:w="832"/>
        <w:gridCol w:w="709"/>
        <w:gridCol w:w="1220"/>
      </w:tblGrid>
      <w:tr>
        <w:trPr>
          <w:tblHeader/>
          <w:trHeight w:val="1598" w:hRule="atLeast"/>
        </w:trPr>
        <w:tc>
          <w:tcPr>
            <w:tcW w:w="425"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TT</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Tên hàng hóa</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Ký mã hiệu</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Nhãn hiệu</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Năm sản xuất</w:t>
            </w:r>
          </w:p>
        </w:tc>
        <w:tc>
          <w:tcPr>
            <w:tcW w:w="671"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Xuất xứ</w:t>
            </w:r>
          </w:p>
        </w:tc>
        <w:tc>
          <w:tcPr>
            <w:tcW w:w="889"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Hãng sản xuất</w:t>
            </w:r>
          </w:p>
        </w:tc>
        <w:tc>
          <w:tcPr>
            <w:tcW w:w="2002"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lang w:val="de-DE"/>
              </w:rPr>
              <w:t>Cấu hình, tính năng kỹ thuật cơ bản</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Đơn vị tính</w:t>
            </w:r>
          </w:p>
        </w:tc>
        <w:tc>
          <w:tcPr>
            <w:tcW w:w="832"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Khối lượng</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Mã HS</w:t>
            </w:r>
          </w:p>
        </w:tc>
        <w:tc>
          <w:tcPr>
            <w:tcW w:w="1220"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12" w:before="0" w:after="0"/>
              <w:jc w:val="center"/>
              <w:rPr>
                <w:b/>
                <w:sz w:val="20"/>
              </w:rPr>
            </w:pPr>
            <w:r>
              <w:rPr>
                <w:b/>
                <w:sz w:val="20"/>
              </w:rPr>
              <w:t>Đơn giá trúng thầu (VND)</w:t>
            </w:r>
          </w:p>
        </w:tc>
      </w:tr>
      <w:tr>
        <w:trPr>
          <w:trHeight w:val="483" w:hRule="atLeast"/>
        </w:trPr>
        <w:tc>
          <w:tcPr>
            <w:tcW w:w="425"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60" w:before="0" w:after="0"/>
              <w:jc w:val="center"/>
              <w:rPr>
                <w:sz w:val="20"/>
                <w:lang w:val="vi-VN"/>
              </w:rPr>
            </w:pPr>
            <w:r>
              <w:rPr>
                <w:sz w:val="20"/>
                <w:lang w:val="vi-VN"/>
              </w:rPr>
              <w:t>1</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Băng ghim dùng trong mổ mở</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GIA80MTC</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GIA Cartridge with Tri-Staple Technology</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lang w:val="vi-VN"/>
              </w:rPr>
            </w:pPr>
            <w:r>
              <w:rPr>
                <w:color w:val="000000"/>
                <w:sz w:val="20"/>
                <w:lang w:val="vi-VN"/>
              </w:rPr>
              <w:t>2026 trở đi</w:t>
            </w:r>
          </w:p>
        </w:tc>
        <w:tc>
          <w:tcPr>
            <w:tcW w:w="6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Hoa Kỳ</w:t>
            </w:r>
          </w:p>
        </w:tc>
        <w:tc>
          <w:tcPr>
            <w:tcW w:w="8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Covidien</w:t>
            </w:r>
          </w:p>
        </w:tc>
        <w:tc>
          <w:tcPr>
            <w:tcW w:w="20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Băng (đạn) ghim khâu máy cắt nối tự động thẳng dùng trong mổ mở công nghệ Tri-staple, cỡ 80mm. Có 3 hàng ghim chiều cao khác nhau mỗi bên, chiều cao ghim trước dập từ trong ra ngoài là: 3.0mm; 3.5mm; 4.0mm, sau khi dập là 1.5 - 2.25mm, ghim bằng Titan. Cung cấp lưỡi dao mới trong mỗi băng đạn. Ghim đóng tạo hình chữ B chuẩn</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rPr>
                <w:sz w:val="20"/>
              </w:rPr>
            </w:pPr>
            <w:r>
              <w:rPr>
                <w:sz w:val="20"/>
              </w:rPr>
              <w:t>Cái</w:t>
            </w:r>
          </w:p>
        </w:tc>
        <w:tc>
          <w:tcPr>
            <w:tcW w:w="832"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60" w:before="0" w:after="0"/>
              <w:jc w:val="center"/>
              <w:rPr>
                <w:sz w:val="20"/>
                <w:lang w:val="vi-VN"/>
              </w:rPr>
            </w:pPr>
            <w:r>
              <w:rPr>
                <w:sz w:val="20"/>
                <w:lang w:val="vi-VN"/>
              </w:rPr>
              <w:t>110</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color w:val="000000"/>
                <w:sz w:val="20"/>
              </w:rPr>
            </w:pPr>
            <w:r>
              <w:rPr>
                <w:color w:val="000000"/>
                <w:sz w:val="20"/>
                <w:lang w:val="vi-VN"/>
              </w:rPr>
            </w:r>
          </w:p>
        </w:tc>
        <w:tc>
          <w:tcPr>
            <w:tcW w:w="12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lang w:val="vi-VN"/>
              </w:rPr>
            </w:pPr>
            <w:r>
              <w:rPr>
                <w:color w:val="000000"/>
                <w:sz w:val="20"/>
                <w:lang w:val="vi-VN"/>
              </w:rPr>
              <w:t>2.000.000</w:t>
            </w:r>
          </w:p>
        </w:tc>
      </w:tr>
      <w:tr>
        <w:trPr>
          <w:trHeight w:val="1471" w:hRule="atLeast"/>
        </w:trPr>
        <w:tc>
          <w:tcPr>
            <w:tcW w:w="425"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60" w:before="0" w:after="0"/>
              <w:jc w:val="center"/>
              <w:rPr>
                <w:sz w:val="20"/>
                <w:lang w:val="vi-VN"/>
              </w:rPr>
            </w:pPr>
            <w:r>
              <w:rPr>
                <w:sz w:val="20"/>
                <w:lang w:val="vi-VN"/>
              </w:rPr>
              <w:t>2</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Dụng cụ khâu nối tròn ba hàng ghim</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TRIEEA28MT</w:t>
            </w:r>
          </w:p>
          <w:p>
            <w:pPr>
              <w:pStyle w:val="Normal"/>
              <w:spacing w:lineRule="auto" w:line="360"/>
              <w:jc w:val="center"/>
              <w:rPr>
                <w:color w:val="000000"/>
                <w:sz w:val="20"/>
              </w:rPr>
            </w:pPr>
            <w:r>
              <w:rPr>
                <w:color w:val="000000"/>
                <w:sz w:val="20"/>
              </w:rPr>
              <w:t>TRIEEA31MT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EEA Circular Stapler with Tri-Staple Technology</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lang w:val="vi-VN"/>
              </w:rPr>
            </w:pPr>
            <w:r>
              <w:rPr>
                <w:color w:val="000000"/>
                <w:sz w:val="20"/>
                <w:lang w:val="vi-VN"/>
              </w:rPr>
              <w:t>2026 trở đi</w:t>
            </w:r>
          </w:p>
        </w:tc>
        <w:tc>
          <w:tcPr>
            <w:tcW w:w="6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Hoa Kỳ</w:t>
            </w:r>
          </w:p>
        </w:tc>
        <w:tc>
          <w:tcPr>
            <w:tcW w:w="8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Covidien</w:t>
            </w:r>
          </w:p>
        </w:tc>
        <w:tc>
          <w:tcPr>
            <w:tcW w:w="20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Dụng cụ (máy) cắt khâu nối ống tiêu hóa tròn 3 hàng ghim các cỡ đường kính 28mm, 31mm. Chiều cao ghim trước dập cao dần từ trong ra ngoài là 3.0 mm, 3.5 mm, 4.0 mm. Ghim bằng Titanium. Ghim đóng tạo hình chữ B chuẩn</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Cái</w:t>
            </w:r>
          </w:p>
        </w:tc>
        <w:tc>
          <w:tcPr>
            <w:tcW w:w="832"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60" w:before="0" w:after="0"/>
              <w:jc w:val="center"/>
              <w:rPr>
                <w:sz w:val="20"/>
                <w:lang w:val="vi-VN"/>
              </w:rPr>
            </w:pPr>
            <w:r>
              <w:rPr>
                <w:sz w:val="20"/>
                <w:lang w:val="vi-VN"/>
              </w:rPr>
              <w:t>20</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color w:val="000000"/>
                <w:sz w:val="20"/>
              </w:rPr>
            </w:pPr>
            <w:r>
              <w:rPr>
                <w:color w:val="000000"/>
                <w:sz w:val="20"/>
                <w:lang w:val="vi-VN"/>
              </w:rPr>
            </w:r>
          </w:p>
        </w:tc>
        <w:tc>
          <w:tcPr>
            <w:tcW w:w="12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lang w:val="vi-VN"/>
              </w:rPr>
            </w:pPr>
            <w:r>
              <w:rPr>
                <w:color w:val="000000"/>
                <w:sz w:val="20"/>
                <w:lang w:val="vi-VN"/>
              </w:rPr>
              <w:t>14.900.000</w:t>
            </w:r>
          </w:p>
        </w:tc>
      </w:tr>
      <w:tr>
        <w:trPr>
          <w:trHeight w:val="483" w:hRule="atLeast"/>
        </w:trPr>
        <w:tc>
          <w:tcPr>
            <w:tcW w:w="425"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60" w:before="0" w:after="0"/>
              <w:jc w:val="center"/>
              <w:rPr>
                <w:sz w:val="20"/>
                <w:lang w:val="vi-VN"/>
              </w:rPr>
            </w:pPr>
            <w:r>
              <w:rPr>
                <w:sz w:val="20"/>
                <w:lang w:val="vi-VN"/>
              </w:rPr>
              <w:t>3</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Dụng cụ khâu cắt nội soi</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EGIAUSHORT</w:t>
            </w:r>
          </w:p>
          <w:p>
            <w:pPr>
              <w:pStyle w:val="Normal"/>
              <w:spacing w:lineRule="auto" w:line="360"/>
              <w:jc w:val="center"/>
              <w:rPr>
                <w:color w:val="000000"/>
                <w:sz w:val="20"/>
              </w:rPr>
            </w:pPr>
            <w:r>
              <w:rPr>
                <w:color w:val="000000"/>
                <w:sz w:val="20"/>
              </w:rPr>
              <w:t>EGIAUSTND</w:t>
            </w:r>
          </w:p>
          <w:p>
            <w:pPr>
              <w:pStyle w:val="Normal"/>
              <w:spacing w:lineRule="auto" w:line="360"/>
              <w:jc w:val="center"/>
              <w:rPr>
                <w:color w:val="000000"/>
                <w:sz w:val="20"/>
              </w:rPr>
            </w:pPr>
            <w:r>
              <w:rPr>
                <w:color w:val="000000"/>
                <w:sz w:val="20"/>
              </w:rPr>
              <w:t>EGIAUXL</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Endo GIA Ultra Universal Stapler</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lang w:val="vi-VN"/>
              </w:rPr>
            </w:pPr>
            <w:r>
              <w:rPr>
                <w:color w:val="000000"/>
                <w:sz w:val="20"/>
                <w:lang w:val="vi-VN"/>
              </w:rPr>
              <w:t>2026 trở đi</w:t>
            </w:r>
          </w:p>
        </w:tc>
        <w:tc>
          <w:tcPr>
            <w:tcW w:w="6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Hoa Kỳ</w:t>
            </w:r>
          </w:p>
        </w:tc>
        <w:tc>
          <w:tcPr>
            <w:tcW w:w="8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Covidien</w:t>
            </w:r>
          </w:p>
        </w:tc>
        <w:tc>
          <w:tcPr>
            <w:tcW w:w="20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Dụng cụ cắt nối tự động dùng trong mổ nội soi tương thích với tất cả băng ghim khâu cắt nội soi. Dụng cụ khi gắn vào băng ghim tương thích có thể bẻ góc 45 độ mỗi bên với 11 điểm gập góc (5 điểm mỗi bên và điểm ở giữa). Nút điều chỉnh gập góc trên thân. Các cỡ độ dài trục nối tương ứng 6cm, 16cm và 26cm.</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rPr>
              <w:t>Cái</w:t>
            </w:r>
          </w:p>
        </w:tc>
        <w:tc>
          <w:tcPr>
            <w:tcW w:w="832"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60" w:before="0" w:after="0"/>
              <w:jc w:val="center"/>
              <w:rPr>
                <w:sz w:val="20"/>
                <w:lang w:val="vi-VN"/>
              </w:rPr>
            </w:pPr>
            <w:r>
              <w:rPr>
                <w:sz w:val="20"/>
                <w:lang w:val="vi-VN"/>
              </w:rPr>
              <w:t>5</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color w:val="000000"/>
                <w:sz w:val="20"/>
              </w:rPr>
            </w:pPr>
            <w:r>
              <w:rPr>
                <w:color w:val="000000"/>
                <w:sz w:val="20"/>
                <w:lang w:val="vi-VN"/>
              </w:rPr>
            </w:r>
          </w:p>
        </w:tc>
        <w:tc>
          <w:tcPr>
            <w:tcW w:w="12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lang w:val="vi-VN"/>
              </w:rPr>
            </w:pPr>
            <w:r>
              <w:rPr>
                <w:color w:val="000000"/>
                <w:sz w:val="20"/>
                <w:lang w:val="vi-VN"/>
              </w:rPr>
              <w:t>5.990.000</w:t>
            </w:r>
          </w:p>
        </w:tc>
      </w:tr>
      <w:tr>
        <w:trPr>
          <w:trHeight w:val="1471" w:hRule="atLeast"/>
        </w:trPr>
        <w:tc>
          <w:tcPr>
            <w:tcW w:w="425"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60" w:before="0" w:after="0"/>
              <w:jc w:val="center"/>
              <w:rPr>
                <w:sz w:val="20"/>
                <w:lang w:val="vi-VN"/>
              </w:rPr>
            </w:pPr>
            <w:r>
              <w:rPr>
                <w:sz w:val="20"/>
                <w:lang w:val="vi-VN"/>
              </w:rPr>
              <w:t>4</w:t>
            </w:r>
          </w:p>
        </w:tc>
        <w:tc>
          <w:tcPr>
            <w:tcW w:w="9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Băng ghim cắt khâu nối nội soi các cỡ</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 xml:space="preserve">EGIA30AVM, </w:t>
            </w:r>
          </w:p>
          <w:p>
            <w:pPr>
              <w:pStyle w:val="Normal"/>
              <w:spacing w:lineRule="auto" w:line="360"/>
              <w:jc w:val="center"/>
              <w:rPr>
                <w:color w:val="000000"/>
                <w:sz w:val="20"/>
              </w:rPr>
            </w:pPr>
            <w:r>
              <w:rPr>
                <w:color w:val="000000"/>
                <w:sz w:val="20"/>
              </w:rPr>
              <w:t>EGIA45AVM</w:t>
            </w:r>
          </w:p>
          <w:p>
            <w:pPr>
              <w:pStyle w:val="Normal"/>
              <w:spacing w:lineRule="auto" w:line="360"/>
              <w:jc w:val="center"/>
              <w:rPr>
                <w:color w:val="000000"/>
                <w:sz w:val="20"/>
              </w:rPr>
            </w:pPr>
            <w:r>
              <w:rPr>
                <w:color w:val="000000"/>
                <w:sz w:val="20"/>
              </w:rPr>
              <w:t>EGIA45AMT</w:t>
            </w:r>
          </w:p>
          <w:p>
            <w:pPr>
              <w:pStyle w:val="Normal"/>
              <w:spacing w:lineRule="auto" w:line="360"/>
              <w:jc w:val="center"/>
              <w:rPr>
                <w:color w:val="000000"/>
                <w:sz w:val="20"/>
              </w:rPr>
            </w:pPr>
            <w:r>
              <w:rPr>
                <w:color w:val="000000"/>
                <w:sz w:val="20"/>
              </w:rPr>
              <w:t>EGIA60AMT</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Endo Gia Articulating Reload with Tri-Staple Technology</w:t>
            </w:r>
          </w:p>
        </w:tc>
        <w:tc>
          <w:tcPr>
            <w:tcW w:w="70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lang w:val="vi-VN"/>
              </w:rPr>
            </w:pPr>
            <w:r>
              <w:rPr>
                <w:color w:val="000000"/>
                <w:sz w:val="20"/>
                <w:lang w:val="vi-VN"/>
              </w:rPr>
              <w:t>2026 trở đi</w:t>
            </w:r>
          </w:p>
        </w:tc>
        <w:tc>
          <w:tcPr>
            <w:tcW w:w="67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Hoa Kỳ</w:t>
            </w:r>
          </w:p>
        </w:tc>
        <w:tc>
          <w:tcPr>
            <w:tcW w:w="88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Covidien</w:t>
            </w:r>
          </w:p>
        </w:tc>
        <w:tc>
          <w:tcPr>
            <w:tcW w:w="200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rPr>
            </w:pPr>
            <w:r>
              <w:rPr>
                <w:color w:val="000000"/>
                <w:sz w:val="20"/>
              </w:rPr>
              <w:t>Băng (đạn) ghim khâu máy cắt nối tự động nội soi công nghệ Tri-staple. Các cỡ băng ghim dài 30mm, 45mm, 60mm, 3 hàng ghim chiều cao khác nhau mỗi bên, chiều cao ghim trước dập từ trong ra ngoài là: 2.0mm; 2.5mm; 3.0mm hoặc 3.0mm; 3.5mm; 4.0mm, sau khi dập là 0.88 - 1.5mm hoặc 1.5 - 2.25mm, ghim bằng Titan. Cung cấp lưỡi dao mới trong mỗi băng đạn. Có 4 ghim ở đầu xa băng đạn.</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lang w:val="vi-VN"/>
              </w:rPr>
            </w:pPr>
            <w:r>
              <w:rPr>
                <w:color w:val="000000"/>
                <w:sz w:val="20"/>
                <w:lang w:val="vi-VN"/>
              </w:rPr>
              <w:t>Cái</w:t>
            </w:r>
          </w:p>
        </w:tc>
        <w:tc>
          <w:tcPr>
            <w:tcW w:w="832"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360" w:before="0" w:after="0"/>
              <w:jc w:val="center"/>
              <w:rPr>
                <w:sz w:val="20"/>
                <w:lang w:val="vi-VN"/>
              </w:rPr>
            </w:pPr>
            <w:r>
              <w:rPr>
                <w:sz w:val="20"/>
                <w:lang w:val="vi-VN"/>
              </w:rPr>
              <w:t>262</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auto" w:line="360"/>
              <w:jc w:val="center"/>
              <w:rPr>
                <w:color w:val="000000"/>
                <w:sz w:val="20"/>
              </w:rPr>
            </w:pPr>
            <w:r>
              <w:rPr>
                <w:color w:val="000000"/>
                <w:sz w:val="20"/>
                <w:lang w:val="vi-VN"/>
              </w:rPr>
            </w:r>
          </w:p>
        </w:tc>
        <w:tc>
          <w:tcPr>
            <w:tcW w:w="12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60"/>
              <w:jc w:val="center"/>
              <w:rPr>
                <w:color w:val="000000"/>
                <w:sz w:val="20"/>
                <w:lang w:val="vi-VN"/>
              </w:rPr>
            </w:pPr>
            <w:r>
              <w:rPr>
                <w:color w:val="000000"/>
                <w:sz w:val="20"/>
                <w:lang w:val="vi-VN"/>
              </w:rPr>
              <w:t>5.500.000</w:t>
            </w:r>
          </w:p>
        </w:tc>
      </w:tr>
    </w:tbl>
    <w:p>
      <w:pPr>
        <w:pStyle w:val="Normal"/>
        <w:spacing w:lineRule="auto" w:line="312" w:before="240" w:after="0"/>
        <w:ind w:firstLine="720" w:end="0"/>
        <w:jc w:val="both"/>
        <w:rPr>
          <w:bCs/>
          <w:sz w:val="28"/>
          <w:szCs w:val="28"/>
          <w:lang w:val="nl-NL"/>
        </w:rPr>
      </w:pPr>
      <w:r>
        <w:rPr>
          <w:b/>
          <w:sz w:val="28"/>
          <w:szCs w:val="28"/>
          <w:lang w:val="nl-NL"/>
        </w:rPr>
        <w:t xml:space="preserve">Điều 2. </w:t>
      </w:r>
      <w:r>
        <w:rPr>
          <w:bCs/>
          <w:sz w:val="28"/>
          <w:szCs w:val="28"/>
          <w:lang w:val="nl-NL"/>
        </w:rPr>
        <w:t>Tổ chức thực hiện</w:t>
      </w:r>
    </w:p>
    <w:p>
      <w:pPr>
        <w:pStyle w:val="Normal"/>
        <w:spacing w:lineRule="auto" w:line="312"/>
        <w:ind w:firstLine="720" w:end="0"/>
        <w:jc w:val="both"/>
        <w:rPr>
          <w:sz w:val="28"/>
          <w:szCs w:val="28"/>
          <w:lang w:val="nl-NL"/>
        </w:rPr>
      </w:pPr>
      <w:r>
        <w:rPr>
          <w:sz w:val="28"/>
          <w:szCs w:val="28"/>
          <w:lang w:val="nl-NL"/>
        </w:rPr>
        <w:t xml:space="preserve">Giao </w:t>
      </w:r>
      <w:r>
        <w:rPr>
          <w:sz w:val="28"/>
          <w:szCs w:val="28"/>
        </w:rPr>
        <w:t xml:space="preserve">Công ty </w:t>
      </w:r>
      <w:r>
        <w:rPr>
          <w:sz w:val="28"/>
          <w:szCs w:val="28"/>
          <w:lang w:val="vi-VN"/>
        </w:rPr>
        <w:t>TNHH thương mại và dịch vụ Thống Nhất</w:t>
      </w:r>
      <w:r>
        <w:rPr>
          <w:sz w:val="28"/>
          <w:szCs w:val="28"/>
          <w:lang w:val="nl-NL"/>
        </w:rPr>
        <w:t>, Phòng Vật tư thiết bị y tế, Phòng Tài chính kế toán, Tổ chuyên gia, các khoa, phòng, trung tâm và các đơn vị liên quan căn cứ nội dung được phê duyệt tại Điều 1 Quyết định này, tiến hành tổ chức hoàn thiện hợp đồng.</w:t>
      </w:r>
    </w:p>
    <w:p>
      <w:pPr>
        <w:pStyle w:val="Normal"/>
        <w:spacing w:lineRule="auto" w:line="312" w:before="60" w:after="240"/>
        <w:ind w:firstLine="720" w:end="0"/>
        <w:jc w:val="both"/>
        <w:rPr>
          <w:sz w:val="28"/>
          <w:szCs w:val="28"/>
          <w:lang w:val="nl-NL"/>
        </w:rPr>
      </w:pPr>
      <w:r>
        <w:rPr>
          <w:b/>
          <w:sz w:val="28"/>
          <w:szCs w:val="28"/>
          <w:lang w:val="nl-NL"/>
        </w:rPr>
        <w:t>Điều 3</w:t>
      </w:r>
      <w:r>
        <w:rPr>
          <w:sz w:val="28"/>
          <w:szCs w:val="28"/>
          <w:lang w:val="nl-NL"/>
        </w:rPr>
        <w:t xml:space="preserve">. Quyết định này có hiệu lực kể từ ngày ký. Công ty TNHH thương mại và dịch vụ Thống Nhất, Phòng Vật tư thiết bị y tế, Phòng Tài chính kế toán, Tổ chuyên gia, các khoa, phòng, trung tâm và các đơn vị liên quan chịu trách nhiệm thi hành Quyết định này./. </w:t>
      </w:r>
    </w:p>
    <w:tbl>
      <w:tblPr>
        <w:tblW w:w="9178" w:type="dxa"/>
        <w:jc w:val="left"/>
        <w:tblInd w:w="108" w:type="dxa"/>
        <w:tblLayout w:type="fixed"/>
        <w:tblCellMar>
          <w:top w:w="0" w:type="dxa"/>
          <w:start w:w="108" w:type="dxa"/>
          <w:bottom w:w="0" w:type="dxa"/>
          <w:end w:w="108" w:type="dxa"/>
        </w:tblCellMar>
      </w:tblPr>
      <w:tblGrid>
        <w:gridCol w:w="3755"/>
        <w:gridCol w:w="5423"/>
      </w:tblGrid>
      <w:tr>
        <w:trPr/>
        <w:tc>
          <w:tcPr>
            <w:tcW w:w="3755" w:type="dxa"/>
            <w:tcBorders/>
          </w:tcPr>
          <w:p>
            <w:pPr>
              <w:pStyle w:val="Normal"/>
              <w:keepNext w:val="true"/>
              <w:numPr>
                <w:ilvl w:val="0"/>
                <w:numId w:val="0"/>
              </w:numPr>
              <w:spacing w:lineRule="atLeast" w:line="360"/>
              <w:outlineLvl w:val="1"/>
              <w:rPr>
                <w:b/>
                <w:bCs/>
                <w:i/>
                <w:sz w:val="24"/>
                <w:szCs w:val="24"/>
                <w:lang w:val="nl-NL"/>
              </w:rPr>
            </w:pPr>
            <w:r>
              <w:rPr>
                <w:b/>
                <w:i/>
                <w:sz w:val="24"/>
                <w:szCs w:val="24"/>
                <w:lang w:val="nl-NL"/>
              </w:rPr>
              <w:t>Nơi nhận:</w:t>
              <w:tab/>
            </w:r>
            <w:r>
              <w:rPr>
                <w:i/>
                <w:sz w:val="24"/>
                <w:szCs w:val="24"/>
                <w:lang w:val="nl-NL"/>
              </w:rPr>
              <w:tab/>
              <w:tab/>
              <w:t xml:space="preserve">  </w:t>
            </w:r>
          </w:p>
          <w:p>
            <w:pPr>
              <w:pStyle w:val="Normal"/>
              <w:rPr>
                <w:sz w:val="22"/>
                <w:szCs w:val="22"/>
                <w:lang w:val="nl-NL"/>
              </w:rPr>
            </w:pPr>
            <w:r>
              <w:rPr>
                <w:sz w:val="22"/>
                <w:szCs w:val="22"/>
                <w:lang w:val="nl-NL"/>
              </w:rPr>
              <w:t>- Như Điều 3;</w:t>
            </w:r>
          </w:p>
          <w:p>
            <w:pPr>
              <w:pStyle w:val="Normal"/>
              <w:rPr>
                <w:b/>
                <w:sz w:val="28"/>
                <w:szCs w:val="28"/>
                <w:lang w:val="nl-NL"/>
              </w:rPr>
            </w:pPr>
            <w:r>
              <w:rPr>
                <w:sz w:val="22"/>
                <w:szCs w:val="22"/>
                <w:lang w:val="nl-NL"/>
              </w:rPr>
              <w:t xml:space="preserve">- Lưu: VT, </w:t>
            </w:r>
            <w:r>
              <w:rPr>
                <w:sz w:val="22"/>
                <w:szCs w:val="22"/>
                <w:lang w:val="vi-VN"/>
              </w:rPr>
              <w:t>TCG</w:t>
            </w:r>
            <w:r>
              <w:rPr>
                <w:sz w:val="22"/>
                <w:szCs w:val="22"/>
              </w:rPr>
              <w:t>, TCKT, VTYT.</w:t>
            </w:r>
          </w:p>
        </w:tc>
        <w:tc>
          <w:tcPr>
            <w:tcW w:w="5423" w:type="dxa"/>
            <w:tcBorders/>
          </w:tcPr>
          <w:p>
            <w:pPr>
              <w:pStyle w:val="Normal"/>
              <w:jc w:val="center"/>
              <w:rPr>
                <w:b/>
                <w:sz w:val="28"/>
                <w:szCs w:val="28"/>
                <w:lang w:val="nl-NL"/>
              </w:rPr>
            </w:pPr>
            <w:r>
              <w:rPr>
                <w:b/>
                <w:sz w:val="28"/>
                <w:szCs w:val="28"/>
                <w:lang w:val="nl-NL"/>
              </w:rPr>
              <w:t>GIÁM ĐỐC</w:t>
            </w:r>
          </w:p>
          <w:p>
            <w:pPr>
              <w:pStyle w:val="Normal"/>
              <w:jc w:val="center"/>
              <w:rPr>
                <w:b/>
                <w:sz w:val="34"/>
                <w:szCs w:val="28"/>
                <w:lang w:val="nl-NL"/>
              </w:rPr>
            </w:pPr>
            <w:r>
              <w:rPr>
                <w:b/>
                <w:sz w:val="34"/>
                <w:szCs w:val="28"/>
                <w:lang w:val="nl-NL"/>
              </w:rPr>
            </w:r>
          </w:p>
          <w:p>
            <w:pPr>
              <w:pStyle w:val="Normal"/>
              <w:rPr>
                <w:b/>
                <w:sz w:val="54"/>
                <w:szCs w:val="28"/>
                <w:lang w:val="nl-NL"/>
              </w:rPr>
            </w:pPr>
            <w:r>
              <w:rPr>
                <w:b/>
                <w:sz w:val="54"/>
                <w:szCs w:val="28"/>
                <w:lang w:val="nl-NL"/>
              </w:rPr>
            </w:r>
          </w:p>
          <w:p>
            <w:pPr>
              <w:pStyle w:val="Normal"/>
              <w:jc w:val="center"/>
              <w:rPr>
                <w:b/>
                <w:sz w:val="32"/>
                <w:szCs w:val="28"/>
                <w:lang w:val="nl-NL"/>
              </w:rPr>
            </w:pPr>
            <w:r>
              <w:rPr>
                <w:b/>
                <w:sz w:val="32"/>
                <w:szCs w:val="28"/>
                <w:lang w:val="nl-NL"/>
              </w:rPr>
            </w:r>
          </w:p>
          <w:p>
            <w:pPr>
              <w:pStyle w:val="Normal"/>
              <w:jc w:val="center"/>
              <w:rPr>
                <w:b/>
                <w:sz w:val="32"/>
                <w:szCs w:val="28"/>
                <w:lang w:val="nl-NL"/>
              </w:rPr>
            </w:pPr>
            <w:r>
              <w:rPr>
                <w:b/>
                <w:sz w:val="32"/>
                <w:szCs w:val="28"/>
                <w:lang w:val="nl-NL"/>
              </w:rPr>
            </w:r>
          </w:p>
          <w:p>
            <w:pPr>
              <w:pStyle w:val="Normal"/>
              <w:jc w:val="center"/>
              <w:rPr>
                <w:b/>
                <w:sz w:val="28"/>
                <w:szCs w:val="28"/>
                <w:lang w:val="nl-NL"/>
              </w:rPr>
            </w:pPr>
            <w:r>
              <w:rPr>
                <w:b/>
                <w:sz w:val="28"/>
                <w:szCs w:val="28"/>
                <w:lang w:val="nl-NL"/>
              </w:rPr>
              <w:t>Lê Đình Thanh Sơn</w:t>
            </w:r>
          </w:p>
        </w:tc>
      </w:tr>
    </w:tbl>
    <w:p>
      <w:pPr>
        <w:pStyle w:val="Normal"/>
        <w:jc w:val="center"/>
        <w:rPr/>
      </w:pPr>
      <w:r>
        <w:rPr/>
        <w:t xml:space="preserve"> </w:t>
      </w:r>
    </w:p>
    <w:sectPr>
      <w:headerReference w:type="default" r:id="rId2"/>
      <w:headerReference w:type="first" r:id="rId3"/>
      <w:footerReference w:type="default" r:id="rId4"/>
      <w:footerReference w:type="first" r:id="rId5"/>
      <w:type w:val="nextPage"/>
      <w:pgSz w:w="11906" w:h="16838"/>
      <w:pgMar w:left="1701" w:right="1134" w:gutter="0" w:header="289" w:top="851" w:footer="289" w:bottom="993"/>
      <w:pgNumType w:start="1"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family w:val="roman"/>
    <w:pitch w:val="variable"/>
  </w:font>
  <w:font w:name="Symbol">
    <w:family w:val="roman"/>
    <w:pitch w:val="variable"/>
  </w:font>
  <w:font w:name="Arial">
    <w:family w:val="swiss"/>
    <w:pitch w:val="variable"/>
  </w:font>
  <w:font w:name="Liberation Serif">
    <w:altName w:val="Times New Roman"/>
    <w:family w:val="roman"/>
    <w:pitch w:val="variable"/>
  </w:font>
  <w:font w:name=".VnTimeH">
    <w:altName w:val="Courier New"/>
    <w:family w:val="swiss"/>
    <w:pitch w:val="variable"/>
  </w:font>
  <w:font w:name="Calibri">
    <w:family w:val="swiss"/>
    <w:pitch w:val="variable"/>
  </w:font>
  <w:font w:name=".VnTime">
    <w:altName w:val="Courier New"/>
    <w:family w:val="swiss"/>
    <w:pitch w:val="variable"/>
  </w:font>
  <w:font w:name="Wingdings">
    <w:family w:val="auto"/>
    <w:pitch w:val="variable"/>
  </w:font>
  <w:font w:name="Courier New">
    <w:family w:val="modern"/>
    <w:pitch w:val="default"/>
  </w:font>
  <w:font w:name=".VnCourier New">
    <w:family w:val="roman"/>
    <w:pitch w:val="variable"/>
  </w:font>
  <w:font w:name="Cambria">
    <w:family w:val="roman"/>
    <w:pitch w:val="variable"/>
  </w:font>
  <w:font w:name="VNI-Times">
    <w:family w:val="auto"/>
    <w:pitch w:val="variable"/>
  </w:font>
  <w:font w:name="Segoe UI">
    <w:family w:val="swiss"/>
    <w:pitch w:val="variable"/>
  </w:font>
  <w:font w:name="3C_Palatino_T">
    <w:altName w:val="Courier New"/>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6</w:t>
    </w:r>
    <w:r>
      <w:rPr>
        <w:rFonts w:cs="Times New Roman" w:ascii="Times New Roman" w:hAnsi="Times New Roman"/>
      </w:rPr>
      <w:fldChar w:fldCharType="end"/>
    </w:r>
  </w:p>
  <w:p>
    <w:pPr>
      <w:pStyle w:val="Footer"/>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jc w:val="center"/>
      <w:rPr/>
    </w:pPr>
    <w:r>
      <w:rPr/>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w:abstractNum w:abstractNumId="1">
    <w:lvl w:ilvl="0">
      <w:start w:val="1"/>
      <w:numFmt w:val="none"/>
      <w:pStyle w:val="Heading1"/>
      <w:suff w:val="nothing"/>
      <w:lvlText w:val=""/>
      <w:lvlJc w:val="left"/>
      <w:pPr>
        <w:tabs>
          <w:tab w:val="num" w:pos="0"/>
        </w:tabs>
        <w:ind w:start="0" w:hanging="0"/>
      </w:pPr>
    </w:lvl>
    <w:lvl w:ilvl="1">
      <w:start w:val="1"/>
      <w:numFmt w:val="none"/>
      <w:pStyle w:val="Heading2"/>
      <w:suff w:val="nothing"/>
      <w:lvlText w:val=""/>
      <w:lvlJc w:val="left"/>
      <w:pPr>
        <w:tabs>
          <w:tab w:val="num" w:pos="0"/>
        </w:tabs>
        <w:ind w:start="0" w:hanging="0"/>
      </w:pPr>
    </w:lvl>
    <w:lvl w:ilvl="2">
      <w:start w:val="1"/>
      <w:numFmt w:val="none"/>
      <w:pStyle w:val="Heading3"/>
      <w:suff w:val="nothing"/>
      <w:lvlText w:val=""/>
      <w:lvlJc w:val="left"/>
      <w:pPr>
        <w:tabs>
          <w:tab w:val="num" w:pos="0"/>
        </w:tabs>
        <w:ind w:start="0" w:hanging="0"/>
      </w:pPr>
    </w:lvl>
    <w:lvl w:ilvl="3">
      <w:start w:val="1"/>
      <w:numFmt w:val="none"/>
      <w:pStyle w:val="Heading4"/>
      <w:suff w:val="nothing"/>
      <w:lvlText w:val=""/>
      <w:lvlJc w:val="left"/>
      <w:pPr>
        <w:tabs>
          <w:tab w:val="num" w:pos="0"/>
        </w:tabs>
        <w:ind w:start="0" w:hanging="0"/>
      </w:pPr>
    </w:lvl>
    <w:lvl w:ilvl="4">
      <w:start w:val="1"/>
      <w:numFmt w:val="none"/>
      <w:pStyle w:val="Heading5"/>
      <w:suff w:val="nothing"/>
      <w:lvlText w:val=""/>
      <w:lvlJc w:val="left"/>
      <w:pPr>
        <w:tabs>
          <w:tab w:val="num" w:pos="0"/>
        </w:tabs>
        <w:ind w:start="0" w:hanging="0"/>
      </w:pPr>
    </w:lvl>
    <w:lvl w:ilvl="5">
      <w:start w:val="1"/>
      <w:numFmt w:val="none"/>
      <w:pStyle w:val="Heading6"/>
      <w:suff w:val="nothing"/>
      <w:lvlText w:val=""/>
      <w:lvlJc w:val="left"/>
      <w:pPr>
        <w:tabs>
          <w:tab w:val="num" w:pos="0"/>
        </w:tabs>
        <w:ind w:start="0" w:hanging="0"/>
      </w:pPr>
    </w:lvl>
    <w:lvl w:ilvl="6">
      <w:start w:val="1"/>
      <w:numFmt w:val="none"/>
      <w:pStyle w:val="Heading7"/>
      <w:suff w:val="nothing"/>
      <w:lvlText w:val=""/>
      <w:lvlJc w:val="left"/>
      <w:pPr>
        <w:tabs>
          <w:tab w:val="num" w:pos="0"/>
        </w:tabs>
        <w:ind w:start="0" w:hanging="0"/>
      </w:pPr>
    </w:lvl>
    <w:lvl w:ilvl="7">
      <w:start w:val="1"/>
      <w:numFmt w:val="none"/>
      <w:pStyle w:val="Heading8"/>
      <w:suff w:val="nothing"/>
      <w:lvlText w:val=""/>
      <w:lvlJc w:val="left"/>
      <w:pPr>
        <w:tabs>
          <w:tab w:val="num" w:pos="0"/>
        </w:tabs>
        <w:ind w:start="0" w:hanging="0"/>
      </w:pPr>
    </w:lvl>
    <w:lvl w:ilvl="8">
      <w:start w:val="1"/>
      <w:numFmt w:val="none"/>
      <w:pStyle w:val="Heading9"/>
      <w:suff w:val="nothing"/>
      <w:lvlText w:val=""/>
      <w:lvlJc w:val="lef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6"/>
      <w:szCs w:val="20"/>
      <w:lang w:val="en-US" w:bidi="ar-SA" w:eastAsia="zh-CN"/>
    </w:rPr>
  </w:style>
  <w:style w:type="paragraph" w:styleId="Heading1">
    <w:name w:val="heading 1"/>
    <w:basedOn w:val="Normal"/>
    <w:next w:val="Normal"/>
    <w:qFormat/>
    <w:pPr>
      <w:keepNext w:val="true"/>
      <w:numPr>
        <w:ilvl w:val="0"/>
        <w:numId w:val="1"/>
      </w:numPr>
      <w:jc w:val="center"/>
      <w:outlineLvl w:val="0"/>
    </w:pPr>
    <w:rPr>
      <w:rFonts w:ascii=".VnTimeH" w:hAnsi=".VnTimeH" w:cs=".VnTimeH"/>
      <w:b/>
      <w:sz w:val="28"/>
    </w:rPr>
  </w:style>
  <w:style w:type="paragraph" w:styleId="Heading2">
    <w:name w:val="heading 2"/>
    <w:basedOn w:val="Normal"/>
    <w:next w:val="Normal"/>
    <w:qFormat/>
    <w:pPr>
      <w:keepNext w:val="true"/>
      <w:numPr>
        <w:ilvl w:val="1"/>
        <w:numId w:val="1"/>
      </w:numPr>
      <w:jc w:val="center"/>
      <w:outlineLvl w:val="1"/>
    </w:pPr>
    <w:rPr>
      <w:b/>
      <w:i/>
      <w:sz w:val="28"/>
      <w:lang w:val="vi-VN"/>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Cs w:val="26"/>
      <w:lang w:val="vi-VN"/>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vi-VN"/>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Cs w:val="26"/>
      <w:lang w:val="vi-VN"/>
    </w:rPr>
  </w:style>
  <w:style w:type="paragraph" w:styleId="Heading6">
    <w:name w:val="heading 6"/>
    <w:basedOn w:val="Normal"/>
    <w:next w:val="Normal"/>
    <w:qFormat/>
    <w:pPr>
      <w:keepNext w:val="true"/>
      <w:widowControl/>
      <w:numPr>
        <w:ilvl w:val="5"/>
        <w:numId w:val="1"/>
      </w:numPr>
      <w:pBdr>
        <w:top w:val="double" w:sz="4" w:space="1" w:color="000000"/>
        <w:left w:val="double" w:sz="4" w:space="0" w:color="000000"/>
        <w:bottom w:val="double" w:sz="4" w:space="1" w:color="000000"/>
        <w:right w:val="double" w:sz="4" w:space="13" w:color="000000"/>
      </w:pBdr>
      <w:jc w:val="center"/>
      <w:outlineLvl w:val="5"/>
    </w:pPr>
    <w:rPr>
      <w:rFonts w:ascii=".VnTime" w:hAnsi=".VnTime" w:cs=".VnTime"/>
      <w:b/>
      <w:iCs/>
      <w:sz w:val="28"/>
      <w:lang w:val="vi-VN"/>
    </w:rPr>
  </w:style>
  <w:style w:type="paragraph" w:styleId="Heading7">
    <w:name w:val="heading 7"/>
    <w:basedOn w:val="Normal"/>
    <w:next w:val="Normal"/>
    <w:qFormat/>
    <w:pPr>
      <w:keepNext w:val="true"/>
      <w:widowControl/>
      <w:numPr>
        <w:ilvl w:val="6"/>
        <w:numId w:val="1"/>
      </w:numPr>
      <w:outlineLvl w:val="6"/>
    </w:pPr>
    <w:rPr>
      <w:rFonts w:ascii=".VnTime" w:hAnsi=".VnTime" w:cs=".VnTime"/>
      <w:b/>
      <w:i/>
      <w:sz w:val="28"/>
      <w:lang w:val="vi-VN"/>
    </w:rPr>
  </w:style>
  <w:style w:type="paragraph" w:styleId="Heading8">
    <w:name w:val="heading 8"/>
    <w:basedOn w:val="Normal"/>
    <w:next w:val="Normal"/>
    <w:qFormat/>
    <w:pPr>
      <w:keepNext w:val="true"/>
      <w:widowControl/>
      <w:numPr>
        <w:ilvl w:val="7"/>
        <w:numId w:val="1"/>
      </w:numPr>
      <w:jc w:val="center"/>
      <w:outlineLvl w:val="7"/>
    </w:pPr>
    <w:rPr>
      <w:rFonts w:ascii=".VnTime" w:hAnsi=".VnTime" w:cs=".VnTime"/>
      <w:b/>
      <w:i/>
      <w:sz w:val="28"/>
      <w:lang w:val="vi-VN"/>
    </w:rPr>
  </w:style>
  <w:style w:type="paragraph" w:styleId="Heading9">
    <w:name w:val="heading 9"/>
    <w:basedOn w:val="Normal"/>
    <w:next w:val="Normal"/>
    <w:qFormat/>
    <w:pPr>
      <w:keepNext w:val="true"/>
      <w:widowControl/>
      <w:numPr>
        <w:ilvl w:val="8"/>
        <w:numId w:val="1"/>
      </w:numPr>
      <w:ind w:firstLine="720" w:start="0" w:end="0"/>
      <w:jc w:val="center"/>
      <w:outlineLvl w:val="8"/>
    </w:pPr>
    <w:rPr>
      <w:rFonts w:ascii=".VnTime" w:hAnsi=".VnTime" w:cs=".VnTime"/>
      <w:b/>
      <w:sz w:val="28"/>
      <w:lang w:val="vi-VN"/>
    </w:rPr>
  </w:style>
  <w:style w:type="character" w:styleId="WW8Num1z0">
    <w:name w:val="WW8Num1z0"/>
    <w:qFormat/>
    <w:rPr>
      <w:rFonts w:ascii="Times New Roman" w:hAnsi="Times New Roman" w:eastAsia="Times New Roman" w:cs="Times New Roman"/>
      <w:b/>
    </w:rPr>
  </w:style>
  <w:style w:type="character" w:styleId="WW8Num1z1">
    <w:name w:val="WW8Num1z1"/>
    <w:qFormat/>
    <w:rPr>
      <w:rFonts w:ascii="Wingdings" w:hAnsi="Wingdings" w:cs="Wingdings"/>
    </w:rPr>
  </w:style>
  <w:style w:type="character" w:styleId="WW8Num1z3">
    <w:name w:val="WW8Num1z3"/>
    <w:qFormat/>
    <w:rPr>
      <w:rFonts w:ascii="Symbol" w:hAnsi="Symbol" w:cs="Symbol"/>
    </w:rPr>
  </w:style>
  <w:style w:type="character" w:styleId="WW8Num1z4">
    <w:name w:val="WW8Num1z4"/>
    <w:qFormat/>
    <w:rPr>
      <w:rFonts w:ascii="Courier New" w:hAnsi="Courier New" w:cs="Courier New"/>
    </w:rPr>
  </w:style>
  <w:style w:type="character" w:styleId="WW8Num2z0">
    <w:name w:val="WW8Num2z0"/>
    <w:qFormat/>
    <w:rPr>
      <w:rFonts w:ascii="Times New Roman" w:hAnsi="Times New Roman" w:cs="Times New Roman"/>
      <w:b/>
      <w:bCs/>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5z0">
    <w:name w:val="WW8Num5z0"/>
    <w:qFormat/>
    <w:rPr/>
  </w:style>
  <w:style w:type="character" w:styleId="WW8Num6z0">
    <w:name w:val="WW8Num6z0"/>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rFonts w:ascii="Times New Roman" w:hAnsi="Times New Roman" w:cs="Times New Roman"/>
      <w:b w:val="false"/>
      <w:i w:val="false"/>
      <w:sz w:val="22"/>
      <w:szCs w:val="22"/>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Times New Roman" w:hAnsi="Times New Roman" w:cs="Times New Roman"/>
      <w:b/>
      <w:bCs/>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w:hAnsi="Times New Roman" w:cs="Times New Roman"/>
      <w:b/>
      <w:bCs/>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ascii="Times New Roman" w:hAnsi="Times New Roman" w:cs="Times New Roman"/>
      <w:b/>
      <w:bCs/>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4z4">
    <w:name w:val="WW8Num14z4"/>
    <w:qFormat/>
    <w:rPr>
      <w:rFonts w:ascii="Courier New" w:hAnsi="Courier New" w:cs="Courier New"/>
    </w:rPr>
  </w:style>
  <w:style w:type="character" w:styleId="WW8Num15z0">
    <w:name w:val="WW8Num15z0"/>
    <w:qFormat/>
    <w:rPr>
      <w:b/>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8z2">
    <w:name w:val="WW8Num18z2"/>
    <w:qFormat/>
    <w:rPr>
      <w:rFonts w:ascii="Symbol" w:hAnsi="Symbol" w:cs="Symbol"/>
      <w:b/>
      <w:i w:val="false"/>
      <w:strike w:val="false"/>
      <w:dstrike w:val="false"/>
      <w:color w:val="000000"/>
      <w:position w:val="0"/>
      <w:sz w:val="24"/>
      <w:szCs w:val="24"/>
      <w:vertAlign w:val="baseline"/>
    </w:rPr>
  </w:style>
  <w:style w:type="character" w:styleId="WW8Num19z0">
    <w:name w:val="WW8Num19z0"/>
    <w:qFormat/>
    <w:rPr/>
  </w:style>
  <w:style w:type="character" w:styleId="WW8Num20z0">
    <w:name w:val="WW8Num20z0"/>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1z4">
    <w:name w:val="WW8Num21z4"/>
    <w:qFormat/>
    <w:rPr>
      <w:rFonts w:ascii="Wingdings" w:hAnsi="Wingdings" w:cs="Wingdings"/>
    </w:rPr>
  </w:style>
  <w:style w:type="character" w:styleId="WW8Num22z0">
    <w:name w:val="WW8Num22z0"/>
    <w:qFormat/>
    <w:rPr>
      <w:rFonts w:ascii="Times New Roman" w:hAnsi="Times New Roman" w:cs="Times New Roman"/>
      <w:b/>
      <w:sz w:val="24"/>
      <w:szCs w:val="24"/>
    </w:rPr>
  </w:style>
  <w:style w:type="character" w:styleId="WW8Num23z0">
    <w:name w:val="WW8Num23z0"/>
    <w:qFormat/>
    <w:rPr/>
  </w:style>
  <w:style w:type="character" w:styleId="WW8Num23z2">
    <w:name w:val="WW8Num23z2"/>
    <w:qFormat/>
    <w:rPr>
      <w:rFonts w:ascii="Times New Roman" w:hAnsi="Times New Roman" w:eastAsia="Times New Roman" w:cs="Times New Roman"/>
      <w:b/>
      <w:i w:val="false"/>
      <w:strike w:val="false"/>
      <w:dstrike w:val="false"/>
      <w:color w:val="000000"/>
      <w:position w:val="0"/>
      <w:sz w:val="24"/>
      <w:szCs w:val="24"/>
      <w:vertAlign w:val="baseline"/>
    </w:rPr>
  </w:style>
  <w:style w:type="character" w:styleId="WW8Num24z0">
    <w:name w:val="WW8Num24z0"/>
    <w:qFormat/>
    <w:rPr>
      <w:rFonts w:ascii="Times New Roman" w:hAnsi="Times New Roman" w:cs="Times New Roman"/>
      <w:b/>
      <w:bCs/>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Symbol" w:hAnsi="Symbol" w:cs="Symbol"/>
    </w:rPr>
  </w:style>
  <w:style w:type="character" w:styleId="WW8Num25z1">
    <w:name w:val="WW8Num25z1"/>
    <w:qFormat/>
    <w:rPr>
      <w:rFonts w:ascii="Wingdings" w:hAnsi="Wingdings" w:cs="Wingdings"/>
    </w:rPr>
  </w:style>
  <w:style w:type="character" w:styleId="WW8Num25z4">
    <w:name w:val="WW8Num25z4"/>
    <w:qFormat/>
    <w:rPr>
      <w:rFonts w:ascii="Courier New" w:hAnsi="Courier New" w:cs="Courier New"/>
    </w:rPr>
  </w:style>
  <w:style w:type="character" w:styleId="WW8Num26z0">
    <w:name w:val="WW8Num26z0"/>
    <w:qFormat/>
    <w:rPr>
      <w:rFonts w:ascii="Symbol" w:hAnsi="Symbol" w:cs="Symbol"/>
      <w:b/>
      <w:i w:val="false"/>
    </w:rPr>
  </w:style>
  <w:style w:type="character" w:styleId="WW8Num27z0">
    <w:name w:val="WW8Num27z0"/>
    <w:qFormat/>
    <w:rPr>
      <w:b/>
    </w:rPr>
  </w:style>
  <w:style w:type="character" w:styleId="WW8Num27z3">
    <w:name w:val="WW8Num27z3"/>
    <w:qFormat/>
    <w:rPr>
      <w:rFonts w:ascii="Symbol" w:hAnsi="Symbol" w:cs="Symbol"/>
    </w:rPr>
  </w:style>
  <w:style w:type="character" w:styleId="WW8Num28z0">
    <w:name w:val="WW8Num28z0"/>
    <w:qFormat/>
    <w:rPr>
      <w:rFonts w:ascii="Times New Roman" w:hAnsi="Times New Roman" w:eastAsia="Times New Roman" w:cs="Times New Roman"/>
    </w:rPr>
  </w:style>
  <w:style w:type="character" w:styleId="WW8Num28z2">
    <w:name w:val="WW8Num28z2"/>
    <w:qFormat/>
    <w:rPr>
      <w:rFonts w:ascii=".VnTime" w:hAnsi=".VnTime" w:cs=".VnTime"/>
    </w:rPr>
  </w:style>
  <w:style w:type="character" w:styleId="WW8Num28z3">
    <w:name w:val="WW8Num28z3"/>
    <w:qFormat/>
    <w:rPr>
      <w:rFonts w:ascii="Symbol" w:hAnsi="Symbol" w:cs="Symbol"/>
    </w:rPr>
  </w:style>
  <w:style w:type="character" w:styleId="WW8Num28z4">
    <w:name w:val="WW8Num28z4"/>
    <w:qFormat/>
    <w:rPr>
      <w:rFonts w:ascii=".VnCourier New" w:hAnsi=".VnCourier New" w:cs=".VnCourier New"/>
    </w:rPr>
  </w:style>
  <w:style w:type="character" w:styleId="WW8Num29z0">
    <w:name w:val="WW8Num29z0"/>
    <w:qFormat/>
    <w:rPr>
      <w:rFonts w:ascii="Symbol" w:hAnsi="Symbol" w:cs="Symbol"/>
      <w:b/>
      <w:color w:val="000000"/>
      <w:sz w:val="2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style>
  <w:style w:type="character" w:styleId="WW8Num31z0">
    <w:name w:val="WW8Num31z0"/>
    <w:qFormat/>
    <w:rPr>
      <w:rFonts w:ascii="Times New Roman" w:hAnsi="Times New Roman" w:eastAsia="Times New Roman" w:cs="Times New Roman"/>
      <w:b/>
      <w:i w:val="false"/>
      <w:strike w:val="false"/>
      <w:dstrike w:val="false"/>
      <w:color w:val="000000"/>
      <w:position w:val="0"/>
      <w:sz w:val="24"/>
      <w:szCs w:val="24"/>
      <w:vertAlign w:val="baseline"/>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b/>
    </w:rPr>
  </w:style>
  <w:style w:type="character" w:styleId="WW8Num33z0">
    <w:name w:val="WW8Num33z0"/>
    <w:qFormat/>
    <w:rPr>
      <w:rFonts w:ascii="Times New Roman" w:hAnsi="Times New Roman" w:cs="Times New Roman"/>
    </w:rPr>
  </w:style>
  <w:style w:type="character" w:styleId="WW8Num33z1">
    <w:name w:val="WW8Num33z1"/>
    <w:qFormat/>
    <w:rPr>
      <w:rFonts w:ascii="Times New Roman" w:hAnsi="Times New Roman" w:cs="Times New Roman"/>
      <w:b w:val="false"/>
      <w:i w:val="false"/>
      <w:strike w:val="false"/>
      <w:dstrike w:val="false"/>
      <w:color w:val="000000"/>
      <w:position w:val="0"/>
      <w:sz w:val="24"/>
      <w:u w:val="none"/>
      <w:vertAlign w:val="baseline"/>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3z4">
    <w:name w:val="WW8Num33z4"/>
    <w:qFormat/>
    <w:rPr>
      <w:rFonts w:ascii="Courier New" w:hAnsi="Courier New" w:cs="Courier New"/>
    </w:rPr>
  </w:style>
  <w:style w:type="character" w:styleId="WW8Num34z0">
    <w:name w:val="WW8Num34z0"/>
    <w:qFormat/>
    <w:rPr>
      <w:rFonts w:ascii="Times New Roman" w:hAnsi="Times New Roman" w:cs="Times New Roman"/>
      <w:b/>
      <w:bCs/>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5z0">
    <w:name w:val="WW8Num35z0"/>
    <w:qFormat/>
    <w:rPr/>
  </w:style>
  <w:style w:type="character" w:styleId="WW8Num36z0">
    <w:name w:val="WW8Num36z0"/>
    <w:qFormat/>
    <w:rPr>
      <w:rFonts w:ascii="Times New Roman" w:hAnsi="Times New Roman" w:cs="Times New Roman"/>
      <w:b/>
      <w:bC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Times New Roman" w:hAnsi="Times New Roman" w:cs="Times New Roman"/>
      <w:b/>
      <w:bCs/>
    </w:rPr>
  </w:style>
  <w:style w:type="character" w:styleId="WW8Num40z0">
    <w:name w:val="WW8Num40z0"/>
    <w:qFormat/>
    <w:rPr>
      <w:rFonts w:ascii="Times New Roman" w:hAnsi="Times New Roman" w:cs="Times New Roman"/>
      <w:b/>
      <w:sz w:val="24"/>
      <w:szCs w:val="24"/>
    </w:rPr>
  </w:style>
  <w:style w:type="character" w:styleId="WW8Num41z0">
    <w:name w:val="WW8Num41z0"/>
    <w:qFormat/>
    <w:rPr/>
  </w:style>
  <w:style w:type="character" w:styleId="WW8Num43z0">
    <w:name w:val="WW8Num43z0"/>
    <w:qFormat/>
    <w:rPr/>
  </w:style>
  <w:style w:type="character" w:styleId="WW8Num44z0">
    <w:name w:val="WW8Num44z0"/>
    <w:qFormat/>
    <w:rPr/>
  </w:style>
  <w:style w:type="character" w:styleId="WW8Num45z0">
    <w:name w:val="WW8Num45z0"/>
    <w:qFormat/>
    <w:rPr>
      <w:rFonts w:ascii="Times New Roman" w:hAnsi="Times New Roman" w:cs="Times New Roman"/>
      <w:b/>
      <w:bCs/>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5z3">
    <w:name w:val="WW8Num45z3"/>
    <w:qFormat/>
    <w:rPr>
      <w:rFonts w:ascii="Symbol" w:hAnsi="Symbol" w:cs="Symbol"/>
    </w:rPr>
  </w:style>
  <w:style w:type="character" w:styleId="WW8Num46z0">
    <w:name w:val="WW8Num46z0"/>
    <w:qFormat/>
    <w:rPr>
      <w:rFonts w:ascii="Times New Roman" w:hAnsi="Times New Roman" w:eastAsia="Times New Roman" w:cs="Times New Roman"/>
      <w:b/>
    </w:rPr>
  </w:style>
  <w:style w:type="character" w:styleId="WW8Num46z1">
    <w:name w:val="WW8Num46z1"/>
    <w:qFormat/>
    <w:rPr>
      <w:rFonts w:ascii="Symbol" w:hAnsi="Symbol" w:cs="Symbol"/>
    </w:rPr>
  </w:style>
  <w:style w:type="character" w:styleId="WW8Num46z2">
    <w:name w:val="WW8Num46z2"/>
    <w:qFormat/>
    <w:rPr>
      <w:rFonts w:ascii="Wingdings" w:hAnsi="Wingdings" w:cs="Wingdings"/>
    </w:rPr>
  </w:style>
  <w:style w:type="character" w:styleId="WW8Num46z4">
    <w:name w:val="WW8Num46z4"/>
    <w:qFormat/>
    <w:rPr>
      <w:rFonts w:ascii="Courier New" w:hAnsi="Courier New" w:cs="Courier New"/>
    </w:rPr>
  </w:style>
  <w:style w:type="character" w:styleId="WW8Num47z0">
    <w:name w:val="WW8Num47z0"/>
    <w:qFormat/>
    <w:rPr>
      <w:rFonts w:ascii="Times New Roman" w:hAnsi="Times New Roman" w:cs="Times New Roman"/>
      <w:b/>
      <w:bCs/>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rFonts w:ascii="Arial" w:hAnsi="Arial" w:eastAsia="Batang" w:cs="Aria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50z0">
    <w:name w:val="WW8Num50z0"/>
    <w:qFormat/>
    <w:rPr>
      <w:rFonts w:ascii="Calibri" w:hAnsi="Calibri" w:eastAsia="Calibri" w:cs="Calibri"/>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0z3">
    <w:name w:val="WW8Num50z3"/>
    <w:qFormat/>
    <w:rPr>
      <w:rFonts w:ascii="Symbol" w:hAnsi="Symbol" w:cs="Symbol"/>
    </w:rPr>
  </w:style>
  <w:style w:type="character" w:styleId="WW8Num51z0">
    <w:name w:val="WW8Num51z0"/>
    <w:qFormat/>
    <w:rPr>
      <w:rFonts w:ascii="Times New Roman" w:hAnsi="Times New Roman" w:cs="Times New Roman"/>
      <w:b/>
      <w:bCs/>
    </w:rPr>
  </w:style>
  <w:style w:type="character" w:styleId="WW8Num52z0">
    <w:name w:val="WW8Num52z0"/>
    <w:qFormat/>
    <w:rPr/>
  </w:style>
  <w:style w:type="character" w:styleId="WW8Num53z0">
    <w:name w:val="WW8Num53z0"/>
    <w:qFormat/>
    <w:rPr>
      <w:rFonts w:ascii="Times New Roman" w:hAnsi="Times New Roman" w:cs="Times New Roman"/>
    </w:rPr>
  </w:style>
  <w:style w:type="character" w:styleId="WW8Num53z1">
    <w:name w:val="WW8Num53z1"/>
    <w:qFormat/>
    <w:rPr>
      <w:rFonts w:ascii="Times New Roman" w:hAnsi="Times New Roman" w:cs="Times New Roman"/>
      <w:b w:val="false"/>
      <w:i w:val="false"/>
      <w:strike w:val="false"/>
      <w:dstrike w:val="false"/>
      <w:color w:val="000000"/>
      <w:position w:val="0"/>
      <w:sz w:val="24"/>
      <w:u w:val="none"/>
      <w:vertAlign w:val="baseline"/>
    </w:rPr>
  </w:style>
  <w:style w:type="character" w:styleId="WW8Num53z2">
    <w:name w:val="WW8Num53z2"/>
    <w:qFormat/>
    <w:rPr>
      <w:rFonts w:ascii="Wingdings" w:hAnsi="Wingdings" w:cs="Wingdings"/>
    </w:rPr>
  </w:style>
  <w:style w:type="character" w:styleId="WW8Num53z3">
    <w:name w:val="WW8Num53z3"/>
    <w:qFormat/>
    <w:rPr>
      <w:rFonts w:ascii="Symbol" w:hAnsi="Symbol" w:cs="Symbol"/>
    </w:rPr>
  </w:style>
  <w:style w:type="character" w:styleId="WW8Num53z4">
    <w:name w:val="WW8Num53z4"/>
    <w:qFormat/>
    <w:rPr>
      <w:rFonts w:ascii="Courier New" w:hAnsi="Courier New" w:cs="Courier New"/>
    </w:rPr>
  </w:style>
  <w:style w:type="character" w:styleId="WW8Num54z0">
    <w:name w:val="WW8Num54z0"/>
    <w:qFormat/>
    <w:rPr>
      <w:rFonts w:ascii="Symbol" w:hAnsi="Symbol" w:cs="Symbol"/>
      <w:color w:val="000000"/>
      <w:sz w:val="20"/>
    </w:rPr>
  </w:style>
  <w:style w:type="character" w:styleId="WW8Num54z1">
    <w:name w:val="WW8Num54z1"/>
    <w:qFormat/>
    <w:rPr>
      <w:rFonts w:ascii="Courier New" w:hAnsi="Courier New" w:cs="Courier New"/>
    </w:rPr>
  </w:style>
  <w:style w:type="character" w:styleId="WW8Num54z2">
    <w:name w:val="WW8Num54z2"/>
    <w:qFormat/>
    <w:rPr>
      <w:rFonts w:ascii="Times New Roman" w:hAnsi="Times New Roman" w:cs="Times New Roman"/>
    </w:rPr>
  </w:style>
  <w:style w:type="character" w:styleId="WW8Num55z0">
    <w:name w:val="WW8Num55z0"/>
    <w:qFormat/>
    <w:rPr>
      <w:rFonts w:ascii="Symbol" w:hAnsi="Symbol" w:cs="Symbo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6z0">
    <w:name w:val="WW8Num56z0"/>
    <w:qFormat/>
    <w:rPr>
      <w:rFonts w:ascii="Cambria" w:hAnsi="Cambria" w:cs="Arial"/>
      <w:color w:val="000000"/>
    </w:rPr>
  </w:style>
  <w:style w:type="character" w:styleId="WW8Num57z0">
    <w:name w:val="WW8Num57z0"/>
    <w:qFormat/>
    <w:rPr>
      <w:rFonts w:ascii="Times New Roman" w:hAnsi="Times New Roman" w:cs="Times New Roman"/>
      <w:b/>
      <w:bCs/>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7z3">
    <w:name w:val="WW8Num57z3"/>
    <w:qFormat/>
    <w:rPr>
      <w:rFonts w:ascii="Symbol" w:hAnsi="Symbol" w:cs="Symbol"/>
    </w:rPr>
  </w:style>
  <w:style w:type="character" w:styleId="WW8Num58z0">
    <w:name w:val="WW8Num58z0"/>
    <w:qFormat/>
    <w:rPr/>
  </w:style>
  <w:style w:type="character" w:styleId="WW8Num59z0">
    <w:name w:val="WW8Num59z0"/>
    <w:qFormat/>
    <w:rPr>
      <w:b/>
    </w:rPr>
  </w:style>
  <w:style w:type="character" w:styleId="WW8Num61z0">
    <w:name w:val="WW8Num61z0"/>
    <w:qFormat/>
    <w:rPr/>
  </w:style>
  <w:style w:type="character" w:styleId="WW8Num62z0">
    <w:name w:val="WW8Num62z0"/>
    <w:qFormat/>
    <w:rPr>
      <w:b/>
    </w:rPr>
  </w:style>
  <w:style w:type="character" w:styleId="WW8Num64z0">
    <w:name w:val="WW8Num64z0"/>
    <w:qFormat/>
    <w:rPr/>
  </w:style>
  <w:style w:type="character" w:styleId="WW8Num65z0">
    <w:name w:val="WW8Num65z0"/>
    <w:qFormat/>
    <w:rPr>
      <w:rFonts w:ascii="Times New Roman" w:hAnsi="Times New Roman" w:eastAsia="Times New Roman" w:cs="Times New Roman"/>
      <w:b/>
    </w:rPr>
  </w:style>
  <w:style w:type="character" w:styleId="WW8Num65z1">
    <w:name w:val="WW8Num65z1"/>
    <w:qFormat/>
    <w:rPr>
      <w:rFonts w:ascii="Courier New" w:hAnsi="Courier New" w:cs="Courier New"/>
    </w:rPr>
  </w:style>
  <w:style w:type="character" w:styleId="WW8Num65z2">
    <w:name w:val="WW8Num65z2"/>
    <w:qFormat/>
    <w:rPr>
      <w:rFonts w:ascii="Wingdings" w:hAnsi="Wingdings" w:cs="Wingdings"/>
    </w:rPr>
  </w:style>
  <w:style w:type="character" w:styleId="WW8Num65z3">
    <w:name w:val="WW8Num65z3"/>
    <w:qFormat/>
    <w:rPr>
      <w:rFonts w:ascii="Symbol" w:hAnsi="Symbol" w:cs="Symbol"/>
    </w:rPr>
  </w:style>
  <w:style w:type="character" w:styleId="WW8Num66z0">
    <w:name w:val="WW8Num66z0"/>
    <w:qFormat/>
    <w:rPr>
      <w:rFonts w:ascii="Times New Roman" w:hAnsi="Times New Roman" w:cs="Times New Roman"/>
      <w:b/>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6z3">
    <w:name w:val="WW8Num66z3"/>
    <w:qFormat/>
    <w:rPr>
      <w:rFonts w:ascii="Symbol" w:hAnsi="Symbol" w:cs="Symbol"/>
    </w:rPr>
  </w:style>
  <w:style w:type="character" w:styleId="WW8Num67z0">
    <w:name w:val="WW8Num67z0"/>
    <w:qFormat/>
    <w:rPr>
      <w:b/>
      <w:i w:val="false"/>
    </w:rPr>
  </w:style>
  <w:style w:type="character" w:styleId="WW8Num68z0">
    <w:name w:val="WW8Num68z0"/>
    <w:qFormat/>
    <w:rPr/>
  </w:style>
  <w:style w:type="character" w:styleId="WW8Num69z0">
    <w:name w:val="WW8Num69z0"/>
    <w:qFormat/>
    <w:rPr>
      <w:rFonts w:ascii="VNI-Times" w:hAnsi="VNI-Times" w:eastAsia="Times New Roman" w:cs="Times New Roman"/>
    </w:rPr>
  </w:style>
  <w:style w:type="character" w:styleId="WW8Num70z0">
    <w:name w:val="WW8Num70z0"/>
    <w:qFormat/>
    <w:rPr>
      <w:rFonts w:ascii="Symbol" w:hAnsi="Symbol" w:cs="Symbol"/>
    </w:rPr>
  </w:style>
  <w:style w:type="character" w:styleId="WW8Num70z1">
    <w:name w:val="WW8Num70z1"/>
    <w:qFormat/>
    <w:rPr>
      <w:rFonts w:ascii="Courier New" w:hAnsi="Courier New" w:cs="Courier New"/>
    </w:rPr>
  </w:style>
  <w:style w:type="character" w:styleId="WW8Num70z2">
    <w:name w:val="WW8Num70z2"/>
    <w:qFormat/>
    <w:rPr>
      <w:rFonts w:ascii="Wingdings" w:hAnsi="Wingdings" w:cs="Wingdings"/>
    </w:rPr>
  </w:style>
  <w:style w:type="character" w:styleId="WW8Num71z0">
    <w:name w:val="WW8Num71z0"/>
    <w:qFormat/>
    <w:rPr/>
  </w:style>
  <w:style w:type="character" w:styleId="WW8Num72z0">
    <w:name w:val="WW8Num72z0"/>
    <w:qFormat/>
    <w:rPr>
      <w:rFonts w:ascii="Times New Roman" w:hAnsi="Times New Roman" w:eastAsia="Times New Roman" w:cs="Times New Roman"/>
      <w:b/>
      <w:i w:val="false"/>
      <w:strike w:val="false"/>
      <w:dstrike w:val="false"/>
      <w:color w:val="000000"/>
      <w:position w:val="0"/>
      <w:sz w:val="24"/>
      <w:szCs w:val="24"/>
      <w:vertAlign w:val="baseline"/>
    </w:rPr>
  </w:style>
  <w:style w:type="character" w:styleId="WW8Num72z1">
    <w:name w:val="WW8Num72z1"/>
    <w:qFormat/>
    <w:rPr>
      <w:rFonts w:ascii="Courier New" w:hAnsi="Courier New" w:cs="Courier New"/>
    </w:rPr>
  </w:style>
  <w:style w:type="character" w:styleId="WW8Num72z2">
    <w:name w:val="WW8Num72z2"/>
    <w:qFormat/>
    <w:rPr>
      <w:rFonts w:ascii="Wingdings" w:hAnsi="Wingdings" w:cs="Wingdings"/>
    </w:rPr>
  </w:style>
  <w:style w:type="character" w:styleId="WW8Num72z3">
    <w:name w:val="WW8Num72z3"/>
    <w:qFormat/>
    <w:rPr>
      <w:rFonts w:ascii="Symbol" w:hAnsi="Symbol" w:cs="Symbol"/>
    </w:rPr>
  </w:style>
  <w:style w:type="character" w:styleId="WW8Num73z0">
    <w:name w:val="WW8Num73z0"/>
    <w:qFormat/>
    <w:rPr/>
  </w:style>
  <w:style w:type="character" w:styleId="WW8Num74z0">
    <w:name w:val="WW8Num74z0"/>
    <w:qFormat/>
    <w:rPr>
      <w:rFonts w:ascii="Times New Roman" w:hAnsi="Times New Roman" w:cs="Times New Roman"/>
      <w:b/>
      <w:bCs/>
    </w:rPr>
  </w:style>
  <w:style w:type="character" w:styleId="WW8Num74z1">
    <w:name w:val="WW8Num74z1"/>
    <w:qFormat/>
    <w:rPr>
      <w:rFonts w:ascii="Courier New" w:hAnsi="Courier New" w:cs="Courier New"/>
    </w:rPr>
  </w:style>
  <w:style w:type="character" w:styleId="WW8Num74z2">
    <w:name w:val="WW8Num74z2"/>
    <w:qFormat/>
    <w:rPr>
      <w:rFonts w:ascii="Wingdings" w:hAnsi="Wingdings" w:cs="Wingdings"/>
    </w:rPr>
  </w:style>
  <w:style w:type="character" w:styleId="WW8Num74z3">
    <w:name w:val="WW8Num74z3"/>
    <w:qFormat/>
    <w:rPr>
      <w:rFonts w:ascii="Symbol" w:hAnsi="Symbol" w:cs="Symbol"/>
    </w:rPr>
  </w:style>
  <w:style w:type="character" w:styleId="WW8Num75z0">
    <w:name w:val="WW8Num75z0"/>
    <w:qFormat/>
    <w:rPr>
      <w:rFonts w:ascii="Courier New" w:hAnsi="Courier New" w:cs="Courier New"/>
    </w:rPr>
  </w:style>
  <w:style w:type="character" w:styleId="WW8Num75z2">
    <w:name w:val="WW8Num75z2"/>
    <w:qFormat/>
    <w:rPr>
      <w:rFonts w:ascii="Wingdings" w:hAnsi="Wingdings" w:cs="Wingdings"/>
    </w:rPr>
  </w:style>
  <w:style w:type="character" w:styleId="WW8Num75z3">
    <w:name w:val="WW8Num75z3"/>
    <w:qFormat/>
    <w:rPr>
      <w:rFonts w:ascii="Symbol" w:hAnsi="Symbol" w:cs="Symbol"/>
    </w:rPr>
  </w:style>
  <w:style w:type="character" w:styleId="WW8Num76z0">
    <w:name w:val="WW8Num76z0"/>
    <w:qFormat/>
    <w:rPr>
      <w:rFonts w:ascii="Calibri" w:hAnsi="Calibri" w:eastAsia="Calibri" w:cs="Calibri"/>
    </w:rPr>
  </w:style>
  <w:style w:type="character" w:styleId="WW8Num76z1">
    <w:name w:val="WW8Num76z1"/>
    <w:qFormat/>
    <w:rPr>
      <w:rFonts w:ascii="Courier New" w:hAnsi="Courier New" w:cs="Courier New"/>
    </w:rPr>
  </w:style>
  <w:style w:type="character" w:styleId="WW8Num76z2">
    <w:name w:val="WW8Num76z2"/>
    <w:qFormat/>
    <w:rPr>
      <w:rFonts w:ascii="Wingdings" w:hAnsi="Wingdings" w:cs="Wingdings"/>
    </w:rPr>
  </w:style>
  <w:style w:type="character" w:styleId="WW8Num76z3">
    <w:name w:val="WW8Num76z3"/>
    <w:qFormat/>
    <w:rPr>
      <w:rFonts w:ascii="Symbol" w:hAnsi="Symbol" w:cs="Symbol"/>
    </w:rPr>
  </w:style>
  <w:style w:type="character" w:styleId="WW8Num77z0">
    <w:name w:val="WW8Num77z0"/>
    <w:qFormat/>
    <w:rPr>
      <w:rFonts w:ascii="Times New Roman" w:hAnsi="Times New Roman" w:cs="Times New Roman"/>
      <w:b/>
    </w:rPr>
  </w:style>
  <w:style w:type="character" w:styleId="WW8Num77z1">
    <w:name w:val="WW8Num77z1"/>
    <w:qFormat/>
    <w:rPr>
      <w:rFonts w:ascii="Courier New" w:hAnsi="Courier New" w:cs="Courier New"/>
    </w:rPr>
  </w:style>
  <w:style w:type="character" w:styleId="WW8Num77z2">
    <w:name w:val="WW8Num77z2"/>
    <w:qFormat/>
    <w:rPr>
      <w:rFonts w:ascii="Wingdings" w:hAnsi="Wingdings" w:cs="Wingdings"/>
    </w:rPr>
  </w:style>
  <w:style w:type="character" w:styleId="WW8Num77z3">
    <w:name w:val="WW8Num77z3"/>
    <w:qFormat/>
    <w:rPr>
      <w:rFonts w:ascii="Symbol" w:hAnsi="Symbol" w:cs="Symbol"/>
    </w:rPr>
  </w:style>
  <w:style w:type="character" w:styleId="WW8Num78z0">
    <w:name w:val="WW8Num78z0"/>
    <w:qFormat/>
    <w:rPr>
      <w:rFonts w:ascii="Wingdings" w:hAnsi="Wingdings" w:cs="Wingdings"/>
    </w:rPr>
  </w:style>
  <w:style w:type="character" w:styleId="WW8Num78z1">
    <w:name w:val="WW8Num78z1"/>
    <w:qFormat/>
    <w:rPr>
      <w:rFonts w:ascii="Courier New" w:hAnsi="Courier New" w:cs="Courier New"/>
    </w:rPr>
  </w:style>
  <w:style w:type="character" w:styleId="WW8Num78z3">
    <w:name w:val="WW8Num78z3"/>
    <w:qFormat/>
    <w:rPr>
      <w:rFonts w:ascii="Symbol" w:hAnsi="Symbol" w:cs="Symbol"/>
    </w:rPr>
  </w:style>
  <w:style w:type="character" w:styleId="WW8Num80z0">
    <w:name w:val="WW8Num80z0"/>
    <w:qFormat/>
    <w:rPr>
      <w:rFonts w:ascii="Times New Roman" w:hAnsi="Times New Roman" w:cs="Times New Roman"/>
      <w:b/>
      <w:bCs/>
    </w:rPr>
  </w:style>
  <w:style w:type="character" w:styleId="WW8Num80z1">
    <w:name w:val="WW8Num80z1"/>
    <w:qFormat/>
    <w:rPr>
      <w:rFonts w:ascii="Courier New" w:hAnsi="Courier New" w:cs="Courier New"/>
    </w:rPr>
  </w:style>
  <w:style w:type="character" w:styleId="WW8Num80z2">
    <w:name w:val="WW8Num80z2"/>
    <w:qFormat/>
    <w:rPr>
      <w:rFonts w:ascii="Wingdings" w:hAnsi="Wingdings" w:cs="Wingdings"/>
    </w:rPr>
  </w:style>
  <w:style w:type="character" w:styleId="WW8Num80z3">
    <w:name w:val="WW8Num80z3"/>
    <w:qFormat/>
    <w:rPr>
      <w:rFonts w:ascii="Symbol" w:hAnsi="Symbol" w:cs="Symbol"/>
    </w:rPr>
  </w:style>
  <w:style w:type="character" w:styleId="WW8Num81z0">
    <w:name w:val="WW8Num81z0"/>
    <w:qFormat/>
    <w:rPr>
      <w:rFonts w:ascii="Times New Roman" w:hAnsi="Times New Roman" w:cs="Times New Roman"/>
      <w:b/>
      <w:bCs/>
    </w:rPr>
  </w:style>
  <w:style w:type="character" w:styleId="WW8Num81z1">
    <w:name w:val="WW8Num81z1"/>
    <w:qFormat/>
    <w:rPr>
      <w:rFonts w:ascii="Courier New" w:hAnsi="Courier New" w:cs="Courier New"/>
    </w:rPr>
  </w:style>
  <w:style w:type="character" w:styleId="WW8Num81z2">
    <w:name w:val="WW8Num81z2"/>
    <w:qFormat/>
    <w:rPr>
      <w:rFonts w:ascii="Wingdings" w:hAnsi="Wingdings" w:cs="Wingdings"/>
    </w:rPr>
  </w:style>
  <w:style w:type="character" w:styleId="WW8Num81z3">
    <w:name w:val="WW8Num81z3"/>
    <w:qFormat/>
    <w:rPr>
      <w:rFonts w:ascii="Symbol" w:hAnsi="Symbol" w:cs="Symbol"/>
    </w:rPr>
  </w:style>
  <w:style w:type="character" w:styleId="WW8Num82z0">
    <w:name w:val="WW8Num82z0"/>
    <w:qFormat/>
    <w:rPr>
      <w:rFonts w:ascii="Times New Roman" w:hAnsi="Times New Roman" w:eastAsia="Times New Roman" w:cs="Times New Roman"/>
      <w:b/>
    </w:rPr>
  </w:style>
  <w:style w:type="character" w:styleId="WW8Num82z1">
    <w:name w:val="WW8Num82z1"/>
    <w:qFormat/>
    <w:rPr>
      <w:rFonts w:ascii="Courier New" w:hAnsi="Courier New" w:cs="Courier New"/>
    </w:rPr>
  </w:style>
  <w:style w:type="character" w:styleId="WW8Num82z2">
    <w:name w:val="WW8Num82z2"/>
    <w:qFormat/>
    <w:rPr>
      <w:rFonts w:ascii="Wingdings" w:hAnsi="Wingdings" w:cs="Wingdings"/>
    </w:rPr>
  </w:style>
  <w:style w:type="character" w:styleId="WW8Num82z3">
    <w:name w:val="WW8Num82z3"/>
    <w:qFormat/>
    <w:rPr>
      <w:rFonts w:ascii="Symbol" w:hAnsi="Symbol" w:cs="Symbol"/>
    </w:rPr>
  </w:style>
  <w:style w:type="character" w:styleId="WW8Num84z0">
    <w:name w:val="WW8Num84z0"/>
    <w:qFormat/>
    <w:rPr>
      <w:b/>
    </w:rPr>
  </w:style>
  <w:style w:type="character" w:styleId="WW8Num85z0">
    <w:name w:val="WW8Num85z0"/>
    <w:qFormat/>
    <w:rPr>
      <w:rFonts w:ascii="Times New Roman" w:hAnsi="Times New Roman" w:cs="Times New Roman"/>
      <w:b/>
      <w:bCs/>
    </w:rPr>
  </w:style>
  <w:style w:type="character" w:styleId="WW8Num85z1">
    <w:name w:val="WW8Num85z1"/>
    <w:qFormat/>
    <w:rPr>
      <w:rFonts w:ascii="Courier New" w:hAnsi="Courier New" w:cs="Courier New"/>
    </w:rPr>
  </w:style>
  <w:style w:type="character" w:styleId="WW8Num85z2">
    <w:name w:val="WW8Num85z2"/>
    <w:qFormat/>
    <w:rPr>
      <w:rFonts w:ascii="Wingdings" w:hAnsi="Wingdings" w:cs="Wingdings"/>
    </w:rPr>
  </w:style>
  <w:style w:type="character" w:styleId="WW8Num85z3">
    <w:name w:val="WW8Num85z3"/>
    <w:qFormat/>
    <w:rPr>
      <w:rFonts w:ascii="Symbol" w:hAnsi="Symbol" w:cs="Symbol"/>
    </w:rPr>
  </w:style>
  <w:style w:type="character" w:styleId="WW8Num87z0">
    <w:name w:val="WW8Num87z0"/>
    <w:qFormat/>
    <w:rPr>
      <w:rFonts w:ascii="Times New Roman" w:hAnsi="Times New Roman" w:eastAsia="Times New Roman" w:cs="Times New Roman"/>
      <w:b/>
    </w:rPr>
  </w:style>
  <w:style w:type="character" w:styleId="WW8Num87z1">
    <w:name w:val="WW8Num87z1"/>
    <w:qFormat/>
    <w:rPr>
      <w:rFonts w:ascii="Courier New" w:hAnsi="Courier New" w:cs="Courier New"/>
    </w:rPr>
  </w:style>
  <w:style w:type="character" w:styleId="WW8Num87z2">
    <w:name w:val="WW8Num87z2"/>
    <w:qFormat/>
    <w:rPr>
      <w:rFonts w:ascii="Wingdings" w:hAnsi="Wingdings" w:cs="Wingdings"/>
    </w:rPr>
  </w:style>
  <w:style w:type="character" w:styleId="WW8Num87z3">
    <w:name w:val="WW8Num87z3"/>
    <w:qFormat/>
    <w:rPr>
      <w:rFonts w:ascii="Symbol" w:hAnsi="Symbol" w:cs="Symbol"/>
    </w:rPr>
  </w:style>
  <w:style w:type="character" w:styleId="WW8Num89z0">
    <w:name w:val="WW8Num89z0"/>
    <w:qFormat/>
    <w:rPr/>
  </w:style>
  <w:style w:type="character" w:styleId="WW8Num90z0">
    <w:name w:val="WW8Num90z0"/>
    <w:qFormat/>
    <w:rPr>
      <w:rFonts w:ascii="Times New Roman" w:hAnsi="Times New Roman" w:cs="Times New Roman"/>
      <w:b/>
      <w:bCs/>
    </w:rPr>
  </w:style>
  <w:style w:type="character" w:styleId="WW8Num90z1">
    <w:name w:val="WW8Num90z1"/>
    <w:qFormat/>
    <w:rPr>
      <w:rFonts w:ascii="Courier New" w:hAnsi="Courier New" w:cs="Courier New"/>
    </w:rPr>
  </w:style>
  <w:style w:type="character" w:styleId="WW8Num90z2">
    <w:name w:val="WW8Num90z2"/>
    <w:qFormat/>
    <w:rPr>
      <w:rFonts w:ascii="Wingdings" w:hAnsi="Wingdings" w:cs="Wingdings"/>
    </w:rPr>
  </w:style>
  <w:style w:type="character" w:styleId="WW8Num90z3">
    <w:name w:val="WW8Num90z3"/>
    <w:qFormat/>
    <w:rPr>
      <w:rFonts w:ascii="Symbol" w:hAnsi="Symbol" w:cs="Symbol"/>
    </w:rPr>
  </w:style>
  <w:style w:type="character" w:styleId="WW8Num91z0">
    <w:name w:val="WW8Num91z0"/>
    <w:qFormat/>
    <w:rPr>
      <w:rFonts w:ascii="Times New Roman" w:hAnsi="Times New Roman" w:cs="Times New Roman"/>
      <w:b/>
      <w:bCs/>
    </w:rPr>
  </w:style>
  <w:style w:type="character" w:styleId="WW8Num91z2">
    <w:name w:val="WW8Num91z2"/>
    <w:qFormat/>
    <w:rPr>
      <w:rFonts w:ascii="Wingdings" w:hAnsi="Wingdings" w:cs="Wingdings"/>
    </w:rPr>
  </w:style>
  <w:style w:type="character" w:styleId="WW8Num91z3">
    <w:name w:val="WW8Num91z3"/>
    <w:qFormat/>
    <w:rPr>
      <w:rFonts w:ascii="Symbol" w:hAnsi="Symbol" w:cs="Symbol"/>
    </w:rPr>
  </w:style>
  <w:style w:type="character" w:styleId="WW8Num91z4">
    <w:name w:val="WW8Num91z4"/>
    <w:qFormat/>
    <w:rPr>
      <w:rFonts w:ascii="Courier New" w:hAnsi="Courier New" w:cs="Courier New"/>
    </w:rPr>
  </w:style>
  <w:style w:type="character" w:styleId="WW8Num93z0">
    <w:name w:val="WW8Num93z0"/>
    <w:qFormat/>
    <w:rPr>
      <w:rFonts w:ascii="Times New Roman" w:hAnsi="Times New Roman" w:cs="Times New Roman"/>
      <w:b/>
      <w:bCs/>
    </w:rPr>
  </w:style>
  <w:style w:type="character" w:styleId="WW8Num93z1">
    <w:name w:val="WW8Num93z1"/>
    <w:qFormat/>
    <w:rPr>
      <w:rFonts w:ascii="Courier New" w:hAnsi="Courier New" w:cs="Courier New"/>
    </w:rPr>
  </w:style>
  <w:style w:type="character" w:styleId="WW8Num93z2">
    <w:name w:val="WW8Num93z2"/>
    <w:qFormat/>
    <w:rPr>
      <w:rFonts w:ascii="Wingdings" w:hAnsi="Wingdings" w:cs="Wingdings"/>
    </w:rPr>
  </w:style>
  <w:style w:type="character" w:styleId="WW8Num93z3">
    <w:name w:val="WW8Num93z3"/>
    <w:qFormat/>
    <w:rPr>
      <w:rFonts w:ascii="Symbol" w:hAnsi="Symbol" w:cs="Symbol"/>
    </w:rPr>
  </w:style>
  <w:style w:type="character" w:styleId="WW8Num94z0">
    <w:name w:val="WW8Num94z0"/>
    <w:qFormat/>
    <w:rPr/>
  </w:style>
  <w:style w:type="character" w:styleId="WW8Num95z0">
    <w:name w:val="WW8Num95z0"/>
    <w:qFormat/>
    <w:rPr>
      <w:rFonts w:ascii="Times New Roman" w:hAnsi="Times New Roman" w:eastAsia="Calibri" w:cs="Times New Roman"/>
    </w:rPr>
  </w:style>
  <w:style w:type="character" w:styleId="WW8Num95z1">
    <w:name w:val="WW8Num95z1"/>
    <w:qFormat/>
    <w:rPr>
      <w:rFonts w:ascii="Courier New" w:hAnsi="Courier New" w:cs="Courier New"/>
    </w:rPr>
  </w:style>
  <w:style w:type="character" w:styleId="WW8Num95z2">
    <w:name w:val="WW8Num95z2"/>
    <w:qFormat/>
    <w:rPr>
      <w:rFonts w:ascii="Wingdings" w:hAnsi="Wingdings" w:cs="Wingdings"/>
    </w:rPr>
  </w:style>
  <w:style w:type="character" w:styleId="WW8Num95z3">
    <w:name w:val="WW8Num95z3"/>
    <w:qFormat/>
    <w:rPr>
      <w:rFonts w:ascii="Symbol" w:hAnsi="Symbol" w:cs="Symbol"/>
    </w:rPr>
  </w:style>
  <w:style w:type="character" w:styleId="DefaultParagraphFont">
    <w:name w:val="Default Paragraph Font"/>
    <w:qFormat/>
    <w:rPr/>
  </w:style>
  <w:style w:type="character" w:styleId="HeaderChar">
    <w:name w:val="Header Char"/>
    <w:qFormat/>
    <w:rPr>
      <w:rFonts w:ascii=".VnTime" w:hAnsi=".VnTime" w:cs=".VnTime"/>
      <w:sz w:val="26"/>
      <w:lang w:val="en-US"/>
    </w:rPr>
  </w:style>
  <w:style w:type="character" w:styleId="FooterChar">
    <w:name w:val="Footer Char"/>
    <w:qFormat/>
    <w:rPr>
      <w:rFonts w:ascii=".VnTime" w:hAnsi=".VnTime" w:cs=".VnTime"/>
      <w:sz w:val="26"/>
      <w:lang w:val="en-US"/>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Heading4Char">
    <w:name w:val="Heading 4 Char"/>
    <w:qFormat/>
    <w:rPr>
      <w:rFonts w:ascii="Calibri" w:hAnsi="Calibri" w:eastAsia="Times New Roman" w:cs="Times New Roman"/>
      <w:b/>
      <w:bCs/>
      <w:sz w:val="28"/>
      <w:szCs w:val="28"/>
    </w:rPr>
  </w:style>
  <w:style w:type="character" w:styleId="Heading5Char">
    <w:name w:val="Heading 5 Char"/>
    <w:qFormat/>
    <w:rPr>
      <w:rFonts w:ascii="Calibri" w:hAnsi="Calibri" w:eastAsia="Times New Roman" w:cs="Times New Roman"/>
      <w:b/>
      <w:bCs/>
      <w:i/>
      <w:iCs/>
      <w:sz w:val="26"/>
      <w:szCs w:val="26"/>
    </w:rPr>
  </w:style>
  <w:style w:type="character" w:styleId="BodyText2Char">
    <w:name w:val="Body Text 2 Char"/>
    <w:qFormat/>
    <w:rPr>
      <w:sz w:val="26"/>
    </w:rPr>
  </w:style>
  <w:style w:type="character" w:styleId="Heading6Char">
    <w:name w:val="Heading 6 Char"/>
    <w:qFormat/>
    <w:rPr>
      <w:rFonts w:ascii=".VnTime" w:hAnsi=".VnTime" w:cs=".VnTime"/>
      <w:b/>
      <w:iCs/>
      <w:sz w:val="28"/>
    </w:rPr>
  </w:style>
  <w:style w:type="character" w:styleId="Heading7Char">
    <w:name w:val="Heading 7 Char"/>
    <w:qFormat/>
    <w:rPr>
      <w:rFonts w:ascii=".VnTime" w:hAnsi=".VnTime" w:cs=".VnTime"/>
      <w:b/>
      <w:i/>
      <w:sz w:val="28"/>
    </w:rPr>
  </w:style>
  <w:style w:type="character" w:styleId="Heading8Char">
    <w:name w:val="Heading 8 Char"/>
    <w:qFormat/>
    <w:rPr>
      <w:rFonts w:ascii=".VnTime" w:hAnsi=".VnTime" w:cs=".VnTime"/>
      <w:b/>
      <w:i/>
      <w:sz w:val="28"/>
    </w:rPr>
  </w:style>
  <w:style w:type="character" w:styleId="Heading9Char">
    <w:name w:val="Heading 9 Char"/>
    <w:qFormat/>
    <w:rPr>
      <w:rFonts w:ascii=".VnTime" w:hAnsi=".VnTime" w:cs=".VnTime"/>
      <w:b/>
      <w:sz w:val="28"/>
    </w:rPr>
  </w:style>
  <w:style w:type="character" w:styleId="PageNumber">
    <w:name w:val="page number"/>
    <w:rPr/>
  </w:style>
  <w:style w:type="character" w:styleId="BodyTextIndentChar">
    <w:name w:val="Body Text Indent Char"/>
    <w:qFormat/>
    <w:rPr>
      <w:rFonts w:ascii=".VnTime" w:hAnsi=".VnTime" w:cs=".VnTime"/>
      <w:sz w:val="28"/>
    </w:rPr>
  </w:style>
  <w:style w:type="character" w:styleId="BodyTextIndent3Char">
    <w:name w:val="Body Text Indent 3 Char"/>
    <w:qFormat/>
    <w:rPr>
      <w:rFonts w:ascii=".VnTime" w:hAnsi=".VnTime" w:cs=".VnTime"/>
      <w:color w:val="000000"/>
      <w:sz w:val="28"/>
    </w:rPr>
  </w:style>
  <w:style w:type="character" w:styleId="LineNumber">
    <w:name w:val="line number"/>
    <w:rPr/>
  </w:style>
  <w:style w:type="character" w:styleId="BodyText3Char">
    <w:name w:val="Body Text 3 Char"/>
    <w:qFormat/>
    <w:rPr>
      <w:rFonts w:ascii=".VnTime" w:hAnsi=".VnTime" w:cs=".VnTime"/>
      <w:sz w:val="24"/>
      <w:szCs w:val="24"/>
    </w:rPr>
  </w:style>
  <w:style w:type="character" w:styleId="FootnoteTextChar">
    <w:name w:val="Footnote Text Char"/>
    <w:qFormat/>
    <w:rPr>
      <w:rFonts w:ascii=".VnTime" w:hAnsi=".VnTime" w:cs=".VnTime"/>
      <w:sz w:val="24"/>
    </w:rPr>
  </w:style>
  <w:style w:type="character" w:styleId="TitleChar">
    <w:name w:val="Title Char"/>
    <w:qFormat/>
    <w:rPr>
      <w:rFonts w:ascii=".VnTimeH" w:hAnsi=".VnTimeH" w:cs=".VnTimeH"/>
      <w:b/>
      <w:sz w:val="28"/>
    </w:rPr>
  </w:style>
  <w:style w:type="character" w:styleId="SubtitleChar">
    <w:name w:val="Subtitle Char"/>
    <w:qFormat/>
    <w:rPr>
      <w:rFonts w:ascii=".VnTime" w:hAnsi=".VnTime" w:cs=".VnTime"/>
      <w:b/>
      <w:sz w:val="28"/>
    </w:rPr>
  </w:style>
  <w:style w:type="character" w:styleId="Heading2Char">
    <w:name w:val="Heading 2 Char"/>
    <w:qFormat/>
    <w:rPr>
      <w:b/>
      <w:i/>
      <w:sz w:val="28"/>
    </w:rPr>
  </w:style>
  <w:style w:type="character" w:styleId="Heading3Char">
    <w:name w:val="Heading 3 Char"/>
    <w:qFormat/>
    <w:rPr>
      <w:rFonts w:ascii="Arial" w:hAnsi="Arial" w:cs="Arial"/>
      <w:b/>
      <w:bCs/>
      <w:sz w:val="26"/>
      <w:szCs w:val="26"/>
    </w:rPr>
  </w:style>
  <w:style w:type="character" w:styleId="PlainTextChar">
    <w:name w:val="Plain Text Char"/>
    <w:qFormat/>
    <w:rPr>
      <w:rFonts w:ascii="Courier New" w:hAnsi="Courier New" w:cs="Courier New"/>
    </w:rPr>
  </w:style>
  <w:style w:type="character" w:styleId="FootnoteCharacters">
    <w:name w:val="Footnote Characters"/>
    <w:qFormat/>
    <w:rPr>
      <w:vertAlign w:val="superscript"/>
    </w:rPr>
  </w:style>
  <w:style w:type="paragraph" w:styleId="Heading">
    <w:name w:val="Heading"/>
    <w:basedOn w:val="Normal"/>
    <w:next w:val="BodyText"/>
    <w:qFormat/>
    <w:pPr>
      <w:widowControl/>
      <w:jc w:val="center"/>
    </w:pPr>
    <w:rPr>
      <w:rFonts w:ascii=".VnTimeH" w:hAnsi=".VnTimeH" w:cs=".VnTimeH"/>
      <w:b/>
      <w:sz w:val="28"/>
      <w:lang w:val="vi-VN"/>
    </w:rPr>
  </w:style>
  <w:style w:type="paragraph" w:styleId="BodyText">
    <w:name w:val="Body Text"/>
    <w:basedOn w:val="Normal"/>
    <w:pPr>
      <w:spacing w:before="0" w:after="120"/>
    </w:pPr>
    <w:rPr>
      <w:bCs/>
      <w:sz w:val="28"/>
      <w:szCs w:val="28"/>
    </w:rPr>
  </w:style>
  <w:style w:type="paragraph" w:styleId="List">
    <w:name w:val="List"/>
    <w:basedOn w:val="BodyText"/>
    <w:pPr/>
    <w:rPr>
      <w:rFonts w:cs="Arial Unicode MS"/>
    </w:rPr>
  </w:style>
  <w:style w:type="paragraph" w:styleId="Caption">
    <w:name w:val="caption"/>
    <w:basedOn w:val="Normal"/>
    <w:next w:val="Normal"/>
    <w:qFormat/>
    <w:pPr>
      <w:widowControl/>
      <w:spacing w:before="120" w:after="0"/>
    </w:pPr>
    <w:rPr>
      <w:rFonts w:ascii=".VnTime" w:hAnsi=".VnTime" w:cs=".VnTime"/>
      <w:b/>
      <w:sz w:val="24"/>
      <w:szCs w:val="32"/>
      <w:u w:val="single"/>
    </w:rPr>
  </w:style>
  <w:style w:type="paragraph" w:styleId="Index">
    <w:name w:val="Index"/>
    <w:basedOn w:val="Normal"/>
    <w:qFormat/>
    <w:pPr>
      <w:suppressLineNumbers/>
    </w:pPr>
    <w:rPr>
      <w:rFonts w:cs="Arial Unicode MS"/>
    </w:rPr>
  </w:style>
  <w:style w:type="paragraph" w:styleId="CharCharChar">
    <w:name w:val=" Char Char Char"/>
    <w:basedOn w:val="Normal"/>
    <w:next w:val="Normal"/>
    <w:qFormat/>
    <w:pPr>
      <w:spacing w:lineRule="auto" w:line="312" w:before="120" w:after="120"/>
    </w:pPr>
    <w:rPr>
      <w:rFonts w:ascii="Times New Roman" w:hAnsi="Times New Roman" w:cs="Times New Roman"/>
      <w:sz w:val="28"/>
      <w:szCs w:val="28"/>
    </w:rPr>
  </w:style>
  <w:style w:type="paragraph" w:styleId="CharCharChar1">
    <w:name w:val="Char Char Char"/>
    <w:basedOn w:val="Normal"/>
    <w:next w:val="Normal"/>
    <w:qFormat/>
    <w:pPr>
      <w:spacing w:lineRule="auto" w:line="312" w:before="120" w:after="120"/>
    </w:pPr>
    <w:rPr>
      <w:rFonts w:ascii="Times New Roman" w:hAnsi="Times New Roman" w:cs="Times New Roman"/>
      <w:sz w:val="28"/>
      <w:szCs w:val="28"/>
    </w:rPr>
  </w:style>
  <w:style w:type="paragraph" w:styleId="BodyTextIndent2">
    <w:name w:val="Body Text Indent 2"/>
    <w:basedOn w:val="Normal"/>
    <w:qFormat/>
    <w:pPr>
      <w:spacing w:lineRule="auto" w:line="480" w:before="0" w:after="120"/>
      <w:ind w:hanging="0" w:start="283" w:end="0"/>
    </w:pPr>
    <w:rPr/>
  </w:style>
  <w:style w:type="paragraph" w:styleId="noidung">
    <w:name w:val="noidung"/>
    <w:basedOn w:val="Normal"/>
    <w:qFormat/>
    <w:pPr>
      <w:widowControl w:val="false"/>
      <w:jc w:val="both"/>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rFonts w:ascii=".VnTime" w:hAnsi=".VnTime" w:cs=".VnTime"/>
    </w:rPr>
  </w:style>
  <w:style w:type="paragraph" w:styleId="Footer">
    <w:name w:val="footer"/>
    <w:basedOn w:val="Normal"/>
    <w:pPr>
      <w:tabs>
        <w:tab w:val="clear" w:pos="720"/>
        <w:tab w:val="center" w:pos="4513" w:leader="none"/>
        <w:tab w:val="right" w:pos="9026" w:leader="none"/>
      </w:tabs>
    </w:pPr>
    <w:rPr>
      <w:rFonts w:ascii=".VnTime" w:hAnsi=".VnTime" w:cs=".VnTime"/>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lang w:val="vi-VN"/>
    </w:rPr>
  </w:style>
  <w:style w:type="paragraph" w:styleId="BalloonText">
    <w:name w:val="Balloon Text"/>
    <w:basedOn w:val="Normal"/>
    <w:qFormat/>
    <w:pPr/>
    <w:rPr>
      <w:rFonts w:ascii="Segoe UI" w:hAnsi="Segoe UI" w:cs="Segoe UI"/>
      <w:sz w:val="18"/>
      <w:szCs w:val="18"/>
      <w:lang w:val="vi-VN"/>
    </w:rPr>
  </w:style>
  <w:style w:type="paragraph" w:styleId="ListParagraph">
    <w:name w:val="List Paragraph"/>
    <w:basedOn w:val="Normal"/>
    <w:qFormat/>
    <w:pPr>
      <w:widowControl/>
      <w:ind w:hanging="0" w:start="720" w:end="0"/>
    </w:pPr>
    <w:rPr>
      <w:rFonts w:ascii="Arial" w:hAnsi="Arial" w:cs="Arial"/>
      <w:sz w:val="20"/>
    </w:rPr>
  </w:style>
  <w:style w:type="paragraph" w:styleId="BodyText2">
    <w:name w:val="Body Text 2"/>
    <w:basedOn w:val="Normal"/>
    <w:qFormat/>
    <w:pPr>
      <w:spacing w:lineRule="auto" w:line="480" w:before="0" w:after="120"/>
    </w:pPr>
    <w:rPr>
      <w:lang w:val="vi-VN"/>
    </w:rPr>
  </w:style>
  <w:style w:type="paragraph" w:styleId="BodyTextIndent">
    <w:name w:val="Body Text Indent"/>
    <w:basedOn w:val="Normal"/>
    <w:pPr>
      <w:widowControl/>
      <w:ind w:firstLine="720" w:start="0" w:end="0"/>
      <w:jc w:val="both"/>
    </w:pPr>
    <w:rPr>
      <w:rFonts w:ascii=".VnTime" w:hAnsi=".VnTime" w:cs=".VnTime"/>
      <w:sz w:val="28"/>
      <w:lang w:val="vi-VN"/>
    </w:rPr>
  </w:style>
  <w:style w:type="paragraph" w:styleId="BodyTextIndent3">
    <w:name w:val="Body Text Indent 3"/>
    <w:basedOn w:val="Normal"/>
    <w:qFormat/>
    <w:pPr>
      <w:widowControl/>
      <w:tabs>
        <w:tab w:val="clear" w:pos="720"/>
        <w:tab w:val="left" w:pos="9356" w:leader="none"/>
      </w:tabs>
      <w:ind w:firstLine="720" w:start="720" w:end="0"/>
      <w:jc w:val="both"/>
    </w:pPr>
    <w:rPr>
      <w:rFonts w:ascii=".VnTime" w:hAnsi=".VnTime" w:cs=".VnTime"/>
      <w:color w:val="000000"/>
      <w:sz w:val="28"/>
      <w:lang w:val="vi-VN"/>
    </w:rPr>
  </w:style>
  <w:style w:type="paragraph" w:styleId="CharCharCharChar">
    <w:name w:val="Char Char Char Char"/>
    <w:basedOn w:val="Normal"/>
    <w:next w:val="Normal"/>
    <w:qFormat/>
    <w:pPr>
      <w:widowControl/>
      <w:spacing w:before="120" w:after="120"/>
      <w:jc w:val="both"/>
    </w:pPr>
    <w:rPr>
      <w:sz w:val="22"/>
      <w:szCs w:val="22"/>
    </w:rPr>
  </w:style>
  <w:style w:type="paragraph" w:styleId="ListBullet">
    <w:name w:val="List Bullet"/>
    <w:basedOn w:val="Normal"/>
    <w:qFormat/>
    <w:pPr>
      <w:widowControl/>
      <w:jc w:val="both"/>
    </w:pPr>
    <w:rPr>
      <w:rFonts w:ascii=".VnTime" w:hAnsi=".VnTime" w:cs=".VnTime"/>
      <w:sz w:val="24"/>
      <w:szCs w:val="24"/>
    </w:rPr>
  </w:style>
  <w:style w:type="paragraph" w:styleId="BodyText3">
    <w:name w:val="Body Text 3"/>
    <w:basedOn w:val="Normal"/>
    <w:qFormat/>
    <w:pPr>
      <w:widowControl/>
      <w:jc w:val="both"/>
    </w:pPr>
    <w:rPr>
      <w:rFonts w:ascii=".VnTime" w:hAnsi=".VnTime" w:cs=".VnTime"/>
      <w:sz w:val="24"/>
      <w:szCs w:val="24"/>
      <w:lang w:val="vi-VN"/>
    </w:rPr>
  </w:style>
  <w:style w:type="paragraph" w:styleId="xl24">
    <w:name w:val="xl24"/>
    <w:basedOn w:val="Normal"/>
    <w:qFormat/>
    <w:pPr>
      <w:widowControl/>
      <w:spacing w:before="280" w:after="280"/>
    </w:pPr>
    <w:rPr>
      <w:rFonts w:ascii=".VnTime" w:hAnsi=".VnTime" w:cs=".VnTime"/>
      <w:bCs/>
      <w:sz w:val="24"/>
      <w:szCs w:val="24"/>
    </w:rPr>
  </w:style>
  <w:style w:type="paragraph" w:styleId="FootnoteText">
    <w:name w:val="footnote text"/>
    <w:basedOn w:val="Normal"/>
    <w:pPr>
      <w:widowControl/>
    </w:pPr>
    <w:rPr>
      <w:rFonts w:ascii=".VnTime" w:hAnsi=".VnTime" w:cs=".VnTime"/>
      <w:sz w:val="24"/>
      <w:lang w:val="vi-VN"/>
    </w:rPr>
  </w:style>
  <w:style w:type="paragraph" w:styleId="xl25">
    <w:name w:val="xl25"/>
    <w:basedOn w:val="Normal"/>
    <w:qFormat/>
    <w:pPr>
      <w:widowControl/>
      <w:pBdr>
        <w:bottom w:val="single" w:sz="4" w:space="0" w:color="000000"/>
        <w:right w:val="single" w:sz="4" w:space="0" w:color="000000"/>
      </w:pBdr>
      <w:spacing w:before="280" w:after="280"/>
      <w:jc w:val="center"/>
      <w:textAlignment w:val="center"/>
    </w:pPr>
    <w:rPr>
      <w:rFonts w:ascii=".VnTime" w:hAnsi=".VnTime" w:cs=".VnTime"/>
      <w:b/>
      <w:sz w:val="24"/>
      <w:szCs w:val="24"/>
    </w:rPr>
  </w:style>
  <w:style w:type="paragraph" w:styleId="Subtitle">
    <w:name w:val="Subtitle"/>
    <w:basedOn w:val="Normal"/>
    <w:next w:val="BodyText"/>
    <w:qFormat/>
    <w:pPr>
      <w:widowControl/>
      <w:spacing w:before="60" w:after="60"/>
    </w:pPr>
    <w:rPr>
      <w:rFonts w:ascii=".VnTime" w:hAnsi=".VnTime" w:cs=".VnTime"/>
      <w:b/>
      <w:sz w:val="28"/>
      <w:lang w:val="vi-VN"/>
    </w:rPr>
  </w:style>
  <w:style w:type="paragraph" w:styleId="M">
    <w:name w:val="M"/>
    <w:basedOn w:val="Normal"/>
    <w:qFormat/>
    <w:pPr>
      <w:widowControl/>
      <w:spacing w:before="60" w:after="60"/>
      <w:ind w:firstLine="720" w:start="0" w:end="0"/>
      <w:jc w:val="both"/>
    </w:pPr>
    <w:rPr>
      <w:rFonts w:ascii=".VnTime" w:hAnsi=".VnTime" w:cs=".VnTime"/>
      <w:b/>
      <w:sz w:val="28"/>
    </w:rPr>
  </w:style>
  <w:style w:type="paragraph" w:styleId="k">
    <w:name w:val="k"/>
    <w:basedOn w:val="BodyTextIndent"/>
    <w:qFormat/>
    <w:pPr>
      <w:spacing w:before="60" w:after="60"/>
    </w:pPr>
    <w:rPr/>
  </w:style>
  <w:style w:type="paragraph" w:styleId="TOC1">
    <w:name w:val="toc 1"/>
    <w:basedOn w:val="Normal"/>
    <w:next w:val="Normal"/>
    <w:pPr>
      <w:widowControl/>
      <w:tabs>
        <w:tab w:val="clear" w:pos="720"/>
        <w:tab w:val="left" w:pos="9118" w:leader="dot"/>
      </w:tabs>
      <w:suppressAutoHyphens w:val="true"/>
      <w:spacing w:lineRule="auto" w:line="288" w:before="240" w:after="0"/>
      <w:ind w:hanging="720" w:start="720" w:end="0"/>
      <w:jc w:val="center"/>
    </w:pPr>
    <w:rPr>
      <w:rFonts w:ascii=".VnTimeH" w:hAnsi=".VnTimeH" w:cs=".VnTimeH"/>
      <w:b/>
      <w:color w:val="000000"/>
      <w:sz w:val="36"/>
    </w:rPr>
  </w:style>
  <w:style w:type="paragraph" w:styleId="vnt">
    <w:name w:val="vn_t"/>
    <w:basedOn w:val="Normal"/>
    <w:qFormat/>
    <w:pPr>
      <w:widowControl/>
    </w:pPr>
    <w:rPr>
      <w:rFonts w:ascii="3C_Palatino_T" w:hAnsi="3C_Palatino_T" w:cs="3C_Palatino_T"/>
      <w:sz w:val="24"/>
    </w:rPr>
  </w:style>
  <w:style w:type="paragraph" w:styleId="PlainText">
    <w:name w:val="Plain Text"/>
    <w:basedOn w:val="Normal"/>
    <w:qFormat/>
    <w:pPr>
      <w:widowControl/>
    </w:pPr>
    <w:rPr>
      <w:rFonts w:ascii="Courier New" w:hAnsi="Courier New" w:cs="Courier New"/>
      <w:sz w:val="20"/>
      <w:lang w:val="vi-VN"/>
    </w:rPr>
  </w:style>
  <w:style w:type="paragraph" w:styleId="Giua">
    <w:name w:val="Giua"/>
    <w:basedOn w:val="Normal"/>
    <w:qFormat/>
    <w:pPr>
      <w:widowControl/>
      <w:spacing w:before="120" w:after="120"/>
      <w:ind w:firstLine="720" w:start="0" w:end="0"/>
      <w:jc w:val="both"/>
    </w:pPr>
    <w:rPr>
      <w:szCs w:val="26"/>
      <w:lang w:val="nl-NL"/>
    </w:rPr>
  </w:style>
  <w:style w:type="paragraph" w:styleId="Sub-ClauseText">
    <w:name w:val="Sub-Clause Text"/>
    <w:basedOn w:val="Normal"/>
    <w:qFormat/>
    <w:pPr>
      <w:widowControl/>
      <w:spacing w:before="120" w:after="120"/>
      <w:jc w:val="both"/>
    </w:pPr>
    <w:rPr>
      <w:spacing w:val="-4"/>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2645</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2016-04-11T11:33:00Z</dcterms:created>
  <dc:creator>X</dc:creator>
  <dc:description/>
  <cp:keywords/>
  <dc:language>vi-VN</dc:language>
  <cp:lastModifiedBy>MY</cp:lastModifiedBy>
  <cp:lastPrinted>2026-01-12T08:20:00Z</cp:lastPrinted>
  <dcterms:modified xsi:type="dcterms:W3CDTF">2026-05-19T14:26:00Z</dcterms:modified>
  <cp:revision>455</cp:revision>
  <dc:subject/>
  <dc:title>Tæng côc hËu cÇn</dc:title>
</cp:coreProperties>
</file>