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640" w:type="dxa"/>
        <w:jc w:val="left"/>
        <w:tblInd w:w="-318" w:type="dxa"/>
        <w:tblLayout w:type="fixed"/>
        <w:tblCellMar>
          <w:top w:w="0" w:type="dxa"/>
          <w:start w:w="108" w:type="dxa"/>
          <w:bottom w:w="0" w:type="dxa"/>
          <w:end w:w="108" w:type="dxa"/>
        </w:tblCellMar>
      </w:tblPr>
      <w:tblGrid>
        <w:gridCol w:w="3970"/>
        <w:gridCol w:w="5670"/>
      </w:tblGrid>
      <w:tr>
        <w:trPr/>
        <w:tc>
          <w:tcPr>
            <w:tcW w:w="3970" w:type="dxa"/>
            <w:tcBorders/>
          </w:tcPr>
          <w:p>
            <w:pPr>
              <w:pStyle w:val="Normal"/>
              <w:spacing w:lineRule="auto" w:line="276"/>
              <w:ind w:end="-144"/>
              <w:jc w:val="center"/>
              <w:rPr>
                <w:sz w:val="26"/>
                <w:szCs w:val="26"/>
              </w:rPr>
            </w:pPr>
            <w:r>
              <w:rPr>
                <w:sz w:val="26"/>
                <w:szCs w:val="26"/>
              </w:rPr>
              <w:t xml:space="preserve"> </w:t>
            </w:r>
            <w:r>
              <w:rPr>
                <w:sz w:val="26"/>
                <w:szCs w:val="26"/>
              </w:rPr>
              <w:t xml:space="preserve">SỞ Y TẾ PHÚ THỌ</w:t>
            </w:r>
          </w:p>
          <w:p>
            <w:pPr>
              <w:pStyle w:val="Normal"/>
              <w:spacing w:lineRule="auto" w:line="276"/>
              <w:ind w:end="-144"/>
              <w:jc w:val="center"/>
              <w:rPr>
                <w:b/>
                <w:sz w:val="26"/>
                <w:szCs w:val="26"/>
              </w:rPr>
            </w:pPr>
            <w:r>
              <w:rPr>
                <w:b/>
                <w:sz w:val="26"/>
                <w:szCs w:val="26"/>
              </w:rPr>
              <w:t xml:space="preserve">BỆNH VIỆN ĐA KHOA TỈNH</w:t>
            </w:r>
          </w:p>
          <w:p>
            <w:pPr>
              <w:pStyle w:val="Normal"/>
              <w:spacing w:lineRule="auto" w:line="276" w:before="120" w:after="0"/>
              <w:ind w:end="-144"/>
              <w:jc w:val="center"/>
              <w:rPr/>
            </w:pPr>
            <w:r>
              <mc:AlternateContent>
                <mc:Choice Requires="wps">
                  <w:drawing>
                    <wp:anchor distT="0" distB="0" distL="114935" distR="114935" simplePos="0" relativeHeight="2" behindDoc="0" locked="0" layoutInCell="1" allowOverlap="1">
                      <wp:simplePos x="0" y="0"/>
                      <wp:positionH relativeFrom="column">
                        <wp:posOffset>538480</wp:posOffset>
                      </wp:positionH>
                      <wp:positionV relativeFrom="paragraph">
                        <wp:posOffset>10160</wp:posOffset>
                      </wp:positionV>
                      <wp:extent cx="1254125" cy="1270"/>
                      <wp:effectExtent l="635" t="5080" r="635" b="5080"/>
                      <wp:wrapNone/>
                      <wp:docPr id="1" name=""/>
                      <a:graphic xmlns:a="http://schemas.openxmlformats.org/drawingml/2006/main">
                        <a:graphicData uri="http://schemas.microsoft.com/office/word/2010/wordprocessingShape">
                          <wps:wsp>
                            <wps:cNvCnPr/>
                            <wps:spPr>
                              <a:xfrm>
                                <a:off x="0" y="0"/>
                                <a:ext cx="12542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2.4pt;margin-top:0.8pt;width:98.7pt;height:0.1pt" type="_x0000_t32">
                      <v:stroke color="black" weight="9360" joinstyle="miter" endcap="flat"/>
                      <v:fill o:detectmouseclick="t" on="false"/>
                      <w10:wrap type="none"/>
                    </v:shape>
                  </w:pict>
                </mc:Fallback>
              </mc:AlternateContent>
            </w:r>
            <w:r>
              <w:rPr/>
              <w:t xml:space="preserve">Số:</w:t>
            </w:r>
            <w:r>
              <w:rPr>
                <w:lang w:val="vi-VN"/>
              </w:rPr>
              <w:t xml:space="preserve"> </w:t>
            </w:r>
            <w:r>
              <w:rPr/>
              <w:t xml:space="preserve">/QĐ-BV</w:t>
            </w:r>
          </w:p>
          <w:p>
            <w:pPr>
              <w:pStyle w:val="Normal"/>
              <w:spacing w:lineRule="auto" w:line="276"/>
              <w:ind w:end="-144"/>
              <w:jc w:val="center"/>
              <w:rPr>
                <w:sz w:val="26"/>
                <w:szCs w:val="26"/>
                <w:lang w:val="fr-FR"/>
              </w:rPr>
            </w:pPr>
            <w:r>
              <w:rPr>
                <w:sz w:val="26"/>
                <w:szCs w:val="26"/>
                <w:lang w:val="fr-FR"/>
              </w:rPr>
            </w:r>
          </w:p>
        </w:tc>
        <w:tc>
          <w:tcPr>
            <w:tcW w:w="5670" w:type="dxa"/>
            <w:tcBorders/>
          </w:tcPr>
          <w:p>
            <w:pPr>
              <w:pStyle w:val="Normal"/>
              <w:spacing w:lineRule="auto" w:line="276"/>
              <w:ind w:end="-144"/>
              <w:jc w:val="center"/>
              <w:rPr>
                <w:b/>
                <w:sz w:val="26"/>
                <w:szCs w:val="26"/>
                <w:lang w:val="fr-FR"/>
              </w:rPr>
            </w:pPr>
            <w:r>
              <w:rPr>
                <w:b/>
                <w:sz w:val="26"/>
                <w:szCs w:val="26"/>
                <w:lang w:val="fr-FR"/>
              </w:rPr>
              <w:t xml:space="preserve">CỘNG HOÀ XÃ HỘI CHỦ NGHĨA VIỆT NAM</w:t>
            </w:r>
          </w:p>
          <w:p>
            <w:pPr>
              <w:pStyle w:val="Normal"/>
              <w:spacing w:lineRule="auto" w:line="276"/>
              <w:ind w:end="-144"/>
              <w:jc w:val="center"/>
              <w:rPr>
                <w:b/>
                <w:szCs w:val="26"/>
              </w:rPr>
            </w:pPr>
            <w:r>
              <mc:AlternateContent>
                <mc:Choice Requires="wps">
                  <w:drawing>
                    <wp:anchor distT="0" distB="0" distL="114935" distR="114935" simplePos="0" relativeHeight="4" behindDoc="0" locked="0" layoutInCell="1" allowOverlap="1">
                      <wp:simplePos x="0" y="0"/>
                      <wp:positionH relativeFrom="column">
                        <wp:posOffset>652145</wp:posOffset>
                      </wp:positionH>
                      <wp:positionV relativeFrom="paragraph">
                        <wp:posOffset>228600</wp:posOffset>
                      </wp:positionV>
                      <wp:extent cx="2219960" cy="1270"/>
                      <wp:effectExtent l="635" t="5080" r="635" b="5080"/>
                      <wp:wrapNone/>
                      <wp:docPr id="2" name=""/>
                      <a:graphic xmlns:a="http://schemas.openxmlformats.org/drawingml/2006/main">
                        <a:graphicData uri="http://schemas.microsoft.com/office/word/2010/wordprocessingShape">
                          <wps:wsp>
                            <wps:cNvCnPr/>
                            <wps:spPr>
                              <a:xfrm>
                                <a:off x="0" y="0"/>
                                <a:ext cx="2220120" cy="180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51.35pt;margin-top:18pt;width:174.75pt;height:0.1pt" type="_x0000_t32">
                      <v:stroke color="black" weight="9360" joinstyle="miter" endcap="flat"/>
                      <v:fill o:detectmouseclick="t" on="false"/>
                      <w10:wrap type="none"/>
                    </v:shape>
                  </w:pict>
                </mc:Fallback>
              </mc:AlternateContent>
            </w:r>
            <w:r>
              <w:rPr>
                <w:b/>
                <w:bCs/>
                <w:szCs w:val="26"/>
              </w:rPr>
              <w:t xml:space="preserve">Độc lập - Tự do - Hạnh phúc</w:t>
            </w:r>
          </w:p>
          <w:p>
            <w:pPr>
              <w:pStyle w:val="Normal"/>
              <w:spacing w:lineRule="auto" w:line="276" w:before="120" w:after="0"/>
              <w:ind w:end="-144"/>
              <w:jc w:val="center"/>
              <w:rPr/>
            </w:pPr>
            <w:r>
              <w:rPr>
                <w:i/>
                <w:iCs/>
              </w:rPr>
              <w:t xml:space="preserve"> </w:t>
            </w:r>
            <w:r>
              <w:rPr>
                <w:i/>
                <w:iCs/>
                <w:lang w:val="vi-VN"/>
              </w:rPr>
              <w:t xml:space="preserve">Phú Thọ</w:t>
            </w:r>
            <w:r>
              <w:rPr>
                <w:i/>
                <w:iCs/>
              </w:rPr>
              <w:t xml:space="preserve">, ngày </w:t>
            </w:r>
            <w:r>
              <w:rPr>
                <w:i/>
                <w:iCs/>
                <w:lang w:val="vi-VN"/>
              </w:rPr>
              <w:t xml:space="preserve">25</w:t>
            </w:r>
            <w:r>
              <w:rPr>
                <w:i/>
                <w:iCs/>
              </w:rPr>
              <w:t xml:space="preserve"> tháng 03 năm 2026</w:t>
            </w:r>
          </w:p>
        </w:tc>
      </w:tr>
    </w:tbl>
    <w:p>
      <w:pPr>
        <w:pStyle w:val="Normal"/>
        <w:spacing w:lineRule="auto" w:line="276" w:before="240" w:after="0"/>
        <w:ind w:end="-144"/>
        <w:jc w:val="center"/>
        <w:rPr>
          <w:b/>
          <w:bCs/>
        </w:rPr>
      </w:pPr>
      <w:r>
        <w:rPr>
          <w:b/>
          <w:bCs/>
        </w:rPr>
        <w:t xml:space="preserve">QUYẾT ĐỊNH</w:t>
      </w:r>
    </w:p>
    <w:p>
      <w:pPr>
        <w:pStyle w:val="Normal"/>
        <w:spacing w:lineRule="auto" w:line="276"/>
        <w:jc w:val="center"/>
        <w:rPr>
          <w:b/>
          <w:bCs/>
        </w:rPr>
      </w:pPr>
      <w:r>
        <w:rPr>
          <w:b/>
          <w:bCs/>
        </w:rPr>
        <w:t xml:space="preserve">Phê duyệt danh mục, số lượng, </w:t>
      </w:r>
      <w:r>
        <w:rPr>
          <w:rFonts w:cs="Times New Roman Bold" w:ascii="Times New Roman Bold" w:hAnsi="Times New Roman Bold"/>
          <w:b/>
          <w:bCs/>
          <w:spacing w:val="-4"/>
          <w:lang w:val="pt-BR"/>
        </w:rPr>
        <w:t xml:space="preserve">tiêu chí kỹ thuật của hạng mục: </w:t>
      </w:r>
      <w:r>
        <w:rPr>
          <w:rFonts w:eastAsia="Calibri"/>
          <w:b/>
          <w:bCs/>
          <w:kern w:val="2"/>
        </w:rPr>
        <w:t xml:space="preserve">Mua sắm </w:t>
      </w:r>
      <w:r>
        <w:rPr>
          <w:b/>
          <w:bCs/>
          <w:lang w:val="vi-VN"/>
        </w:rPr>
        <w:t xml:space="preserve">băng ghim và dụng cụ cắt khâu nối dùng trong phẫu thuật phục</w:t>
      </w:r>
      <w:r>
        <w:rPr>
          <w:b/>
          <w:bCs/>
        </w:rPr>
        <w:t xml:space="preserve"> vụ </w:t>
      </w:r>
      <w:r>
        <w:rPr>
          <w:b/>
          <w:bCs/>
          <w:lang w:val="vi-VN"/>
        </w:rPr>
        <w:t xml:space="preserve">công tác chuyên môn</w:t>
      </w:r>
      <w:r>
        <w:rPr>
          <w:b/>
          <w:bCs/>
        </w:rPr>
        <w:t xml:space="preserve"> tại</w:t>
      </w:r>
      <w:r>
        <w:rPr>
          <w:b/>
          <w:bCs/>
          <w:lang w:val="vi-VN"/>
        </w:rPr>
        <w:t xml:space="preserve"> </w:t>
      </w:r>
      <w:r>
        <w:rPr>
          <w:b/>
          <w:bCs/>
        </w:rPr>
        <w:t xml:space="preserve">Bệnh viện đa khoa tỉnh Phú Thọ</w:t>
      </w:r>
    </w:p>
    <w:p>
      <w:pPr>
        <w:pStyle w:val="Normal"/>
        <w:spacing w:lineRule="auto" w:line="276"/>
        <w:ind w:start="-425" w:end="-144"/>
        <w:jc w:val="center"/>
        <w:rPr>
          <w:b/>
          <w:bCs/>
        </w:rPr>
      </w:pPr>
      <w:r>
        <w:rPr>
          <w:b/>
          <w:bCs/>
          <w:lang w:val="vi-VN" w:eastAsia="vi-VN"/>
        </w:rPr>
        <mc:AlternateContent>
          <mc:Choice Requires="wps">
            <w:drawing>
              <wp:anchor distT="0" distB="0" distL="114935" distR="114935" simplePos="0" relativeHeight="3" behindDoc="0" locked="0" layoutInCell="1" allowOverlap="1">
                <wp:simplePos x="0" y="0"/>
                <wp:positionH relativeFrom="column">
                  <wp:posOffset>2209165</wp:posOffset>
                </wp:positionH>
                <wp:positionV relativeFrom="paragraph">
                  <wp:posOffset>49530</wp:posOffset>
                </wp:positionV>
                <wp:extent cx="1143000" cy="1270"/>
                <wp:effectExtent l="635" t="5080" r="635" b="5080"/>
                <wp:wrapNone/>
                <wp:docPr id="3" name=""/>
                <a:graphic xmlns:a="http://schemas.openxmlformats.org/drawingml/2006/main">
                  <a:graphicData uri="http://schemas.microsoft.com/office/word/2010/wordprocessingShape">
                    <wps:wsp>
                      <wps:cNvCnPr/>
                      <wps:spPr>
                        <a:xfrm>
                          <a:off x="0" y="0"/>
                          <a:ext cx="1143360" cy="1440"/>
                        </a:xfrm>
                        <a:prstGeom prst="straightConnector1">
                          <a:avLst/>
                        </a:prstGeom>
                        <a:ln w="9360">
                          <a:solidFill>
                            <a:srgbClr val="000000"/>
                          </a:solidFill>
                          <a:miter/>
                        </a:ln>
                      </wps:spPr>
                      <wps:bodyPr/>
                    </wps:wsp>
                  </a:graphicData>
                </a:graphic>
              </wp:anchor>
            </w:drawing>
          </mc:Choice>
          <mc:Fallback>
            <w:pict>
              <v:shape id="shape_0_3" stroked="t" o:allowincell="f" style="position:absolute;margin-left:173.95pt;margin-top:3.9pt;width:90pt;height:0.05pt" type="_x0000_t32">
                <v:stroke color="black" weight="9360" joinstyle="miter" endcap="flat"/>
                <v:fill o:detectmouseclick="t" on="false"/>
                <w10:wrap type="none"/>
              </v:shape>
            </w:pict>
          </mc:Fallback>
        </mc:AlternateContent>
      </w:r>
    </w:p>
    <w:p>
      <w:pPr>
        <w:pStyle w:val="Normal"/>
        <w:spacing w:lineRule="auto" w:line="276" w:before="0" w:after="120"/>
        <w:ind w:end="-144"/>
        <w:jc w:val="center"/>
        <w:rPr>
          <w:b/>
          <w:bCs/>
          <w:lang w:val="nl-NL"/>
        </w:rPr>
      </w:pPr>
      <w:r>
        <w:rPr>
          <w:b/>
          <w:bCs/>
          <w:lang w:val="nl-NL"/>
        </w:rPr>
        <w:t xml:space="preserve">GIÁM ĐỐC BỆNH VIỆN ĐA KHOA TỈNH PHÚ THỌ</w:t>
      </w:r>
    </w:p>
    <w:p>
      <w:pPr>
        <w:pStyle w:val="Normal"/>
        <w:spacing w:lineRule="auto" w:line="276" w:before="60" w:after="20"/>
        <w:ind w:firstLine="567" w:end="-144"/>
        <w:jc w:val="both"/>
        <w:rPr>
          <w:i/>
        </w:rPr>
      </w:pPr>
      <w:r>
        <w:rPr>
          <w:i/>
          <w:szCs w:val="26"/>
        </w:rPr>
        <w:t xml:space="preserve">Căn cứ Luật Đấu thầu số ngày 23/06/2023, được sửa đổi bổ sung tại Luật số 57/2024/QH15 ngày 29/11/2024; Luật số 90/2025/QH15 ngày 25/6/2025</w:t>
      </w:r>
      <w:r>
        <w:rPr>
          <w:i/>
        </w:rPr>
        <w:t xml:space="preserve">;</w:t>
      </w:r>
    </w:p>
    <w:p>
      <w:pPr>
        <w:pStyle w:val="Normal"/>
        <w:spacing w:lineRule="auto" w:line="276" w:before="60" w:after="20"/>
        <w:ind w:firstLine="567" w:end="-144"/>
        <w:jc w:val="both"/>
        <w:rPr>
          <w:i/>
        </w:rPr>
      </w:pPr>
      <w:r>
        <w:rPr>
          <w:i/>
        </w:rPr>
        <w:t xml:space="preserve">Căn cứ Luật Khám bệnh, chữa bệnh ngày 09/01/2023;</w:t>
      </w:r>
    </w:p>
    <w:p>
      <w:pPr>
        <w:pStyle w:val="Normal"/>
        <w:spacing w:lineRule="auto" w:line="276" w:before="60" w:after="20"/>
        <w:ind w:firstLine="567" w:end="-144"/>
        <w:jc w:val="both"/>
        <w:rPr>
          <w:i/>
        </w:rPr>
      </w:pPr>
      <w:r>
        <w:rPr>
          <w:i/>
        </w:rPr>
        <w:t xml:space="preserve">Căn cứ Luật Quản lý, sử dụng tài sản công ngày 21/6/2017;</w:t>
      </w:r>
    </w:p>
    <w:p>
      <w:pPr>
        <w:pStyle w:val="Normal"/>
        <w:spacing w:lineRule="auto" w:line="276" w:before="60" w:after="20"/>
        <w:ind w:firstLine="540" w:end="-144"/>
        <w:jc w:val="both"/>
        <w:rPr>
          <w:i/>
        </w:rPr>
      </w:pPr>
      <w:r>
        <w:rPr>
          <w:i/>
        </w:rPr>
        <w:t xml:space="preserve">Căn cứ Luật sửa đổi, bổ sung một số điều của Luật Quy hoạch, Luật Đầu tư, Luật Đầu tư theo phương thức đối tác công tư và Luật Đấu thầu ngày 29/11/2024;</w:t>
      </w:r>
    </w:p>
    <w:p>
      <w:pPr>
        <w:pStyle w:val="Normal"/>
        <w:spacing w:lineRule="auto" w:line="276"/>
        <w:ind w:firstLine="567" w:end="-144"/>
        <w:jc w:val="both"/>
        <w:rPr>
          <w:i/>
          <w:lang w:val="nl-NL"/>
        </w:rPr>
      </w:pPr>
      <w:r>
        <w:rPr>
          <w:i/>
        </w:rPr>
        <w:t xml:space="preserve">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pPr>
        <w:pStyle w:val="Normal"/>
        <w:spacing w:lineRule="auto" w:line="276" w:before="60" w:after="0"/>
        <w:ind w:firstLine="567" w:end="-142"/>
        <w:jc w:val="both"/>
        <w:rPr>
          <w:i/>
        </w:rPr>
      </w:pPr>
      <w:r>
        <w:rPr>
          <w:i/>
        </w:rPr>
        <w:t xml:space="preserve">Căn cứ Nghị định số 214/2025/NĐ-CP ngày 04/8/2025 của Chính phủ quy định chi tiết một số điều và biện pháp thi hành Luật Đấu thầu về lựa chọn nhà thầu;</w:t>
      </w:r>
    </w:p>
    <w:p>
      <w:pPr>
        <w:pStyle w:val="Normal"/>
        <w:spacing w:lineRule="auto" w:line="276" w:before="60" w:after="20"/>
        <w:ind w:firstLine="567" w:end="-144"/>
        <w:jc w:val="both"/>
        <w:rPr>
          <w:i/>
        </w:rPr>
      </w:pPr>
      <w:r>
        <w:rPr>
          <w:i/>
          <w:iCs/>
        </w:rPr>
        <w:t xml:space="preserve">Căn cứ Nghị định số 96/2023/NĐ-CP ngày 30/12/2023 của Chính phủ quy định chi tiết một số điều của Luật khám bệnh, chữa bệnh;</w:t>
      </w:r>
    </w:p>
    <w:p>
      <w:pPr>
        <w:pStyle w:val="Normal"/>
        <w:spacing w:lineRule="auto" w:line="276" w:before="60" w:after="20"/>
        <w:ind w:firstLine="567" w:end="-144"/>
        <w:jc w:val="both"/>
        <w:rPr>
          <w:i/>
        </w:rPr>
      </w:pPr>
      <w:r>
        <w:rPr>
          <w:i/>
          <w:szCs w:val="26"/>
          <w:lang w:val="vi-VN"/>
        </w:rPr>
        <w:t xml:space="preserve">Căn cứ nghị định 186/2025/NĐ-CP ngày 01/7/2025 của Chính phủ quy định </w:t>
      </w:r>
      <w:r>
        <w:rPr>
          <w:i/>
          <w:szCs w:val="26"/>
        </w:rPr>
        <w:t xml:space="preserve">chi tiết một số điều của Luật quản lý, sử dụng tài sản công</w:t>
      </w:r>
      <w:r>
        <w:rPr>
          <w:rFonts w:eastAsia="Calibri"/>
          <w:i/>
        </w:rPr>
        <w:t xml:space="preserve">;</w:t>
      </w:r>
      <w:r>
        <w:rPr/>
        <w:t xml:space="preserve"> </w:t>
      </w:r>
    </w:p>
    <w:p>
      <w:pPr>
        <w:pStyle w:val="Normal"/>
        <w:tabs>
          <w:tab w:val="clear" w:pos="720"/>
          <w:tab w:val="left" w:pos="450" w:leader="none"/>
          <w:tab w:val="left" w:pos="630" w:leader="none"/>
        </w:tabs>
        <w:spacing w:lineRule="auto" w:line="276" w:before="60" w:after="20"/>
        <w:ind w:end="-144"/>
        <w:jc w:val="both"/>
        <w:rPr>
          <w:i/>
        </w:rPr>
      </w:pPr>
      <w:r>
        <w:rPr>
          <w:rFonts w:eastAsia="Calibri"/>
          <w:i/>
        </w:rPr>
        <w:t xml:space="preserve"> </w:t>
      </w:r>
      <w:r>
        <w:rPr>
          <w:i/>
        </w:rPr>
        <w:t xml:space="preserve">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w:t>
      </w:r>
      <w:r>
        <w:rPr>
          <w:i/>
          <w:iCs/>
        </w:rPr>
        <w:t xml:space="preserve">; Nghị định số 07/2023/NĐ-CP ngày 03/03/2023 của Chính phủ sửa đổi, bổ sung một số điều của Nghị định 98/2021/NĐ-CP ngày 08/11/2021 của Chính phủ về Quản lý trang thiết bị y tế</w:t>
      </w:r>
      <w:r>
        <w:rPr>
          <w:rFonts w:eastAsia="Calibri"/>
          <w:i/>
        </w:rPr>
        <w:t xml:space="preserve">;</w:t>
      </w:r>
    </w:p>
    <w:p>
      <w:pPr>
        <w:pStyle w:val="Normal"/>
        <w:spacing w:lineRule="auto" w:line="276" w:before="60" w:after="20"/>
        <w:ind w:firstLine="567" w:end="-144"/>
        <w:jc w:val="both"/>
        <w:rPr>
          <w:rFonts w:eastAsia="Calibri"/>
          <w:i/>
        </w:rPr>
      </w:pPr>
      <w:r>
        <w:rPr>
          <w:i/>
        </w:rPr>
        <w:t xml:space="preserve">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r>
        <w:rPr>
          <w:rFonts w:eastAsia="Calibri"/>
          <w:i/>
        </w:rPr>
        <w:t xml:space="preserve">;</w:t>
      </w:r>
    </w:p>
    <w:p>
      <w:pPr>
        <w:pStyle w:val="Normal"/>
        <w:widowControl w:val="false"/>
        <w:spacing w:lineRule="auto" w:line="276" w:before="40" w:after="40"/>
        <w:ind w:firstLine="567" w:end="-144"/>
        <w:jc w:val="both"/>
        <w:rPr>
          <w:i/>
          <w:iCs/>
        </w:rPr>
      </w:pPr>
      <w:r>
        <w:rPr>
          <w:i/>
          <w:iCs/>
          <w:lang w:val="vi-VN"/>
        </w:rPr>
        <w:t xml:space="preserve">Căn cứ Nghị định số 9</w:t>
      </w:r>
      <w:r>
        <w:rPr>
          <w:i/>
          <w:iCs/>
        </w:rPr>
        <w:t xml:space="preserve">8/202</w:t>
      </w:r>
      <w:r>
        <w:rPr>
          <w:i/>
          <w:iCs/>
          <w:lang w:val="vi-VN"/>
        </w:rPr>
        <w:t xml:space="preserve">5</w:t>
      </w:r>
      <w:r>
        <w:rPr>
          <w:i/>
          <w:iCs/>
        </w:rPr>
        <w:t xml:space="preserve">/NĐ-CP</w:t>
      </w:r>
      <w:r>
        <w:rPr>
          <w:i/>
          <w:iCs/>
          <w:lang w:val="vi-VN"/>
        </w:rPr>
        <w:t xml:space="preserve"> </w:t>
      </w:r>
      <w:r>
        <w:rPr>
          <w:i/>
          <w:iCs/>
          <w:lang w:val="nl-NL"/>
        </w:rPr>
        <w:t xml:space="preserve">ngày 0</w:t>
      </w:r>
      <w:r>
        <w:rPr>
          <w:i/>
          <w:iCs/>
          <w:lang w:val="vi-VN"/>
        </w:rPr>
        <w:t xml:space="preserve">6</w:t>
      </w:r>
      <w:r>
        <w:rPr>
          <w:i/>
          <w:iCs/>
          <w:lang w:val="nl-NL"/>
        </w:rPr>
        <w:t xml:space="preserve">/</w:t>
      </w:r>
      <w:r>
        <w:rPr>
          <w:i/>
          <w:iCs/>
          <w:lang w:val="vi-VN"/>
        </w:rPr>
        <w:t xml:space="preserve">5</w:t>
      </w:r>
      <w:r>
        <w:rPr>
          <w:i/>
          <w:iCs/>
          <w:lang w:val="nl-NL"/>
        </w:rPr>
        <w:t xml:space="preserve">/202</w:t>
      </w:r>
      <w:r>
        <w:rPr>
          <w:i/>
          <w:iCs/>
          <w:lang w:val="vi-VN"/>
        </w:rPr>
        <w:t xml:space="preserve">5</w:t>
      </w:r>
      <w:r>
        <w:rPr>
          <w:i/>
          <w:iCs/>
        </w:rPr>
        <w:t xml:space="preserve">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Pr>
          <w:i/>
          <w:iCs/>
          <w:lang w:val="vi-VN"/>
        </w:rPr>
        <w:t xml:space="preserve">;</w:t>
      </w:r>
    </w:p>
    <w:p>
      <w:pPr>
        <w:pStyle w:val="Normal"/>
        <w:spacing w:lineRule="auto" w:line="276" w:before="60" w:after="0"/>
        <w:ind w:firstLine="567" w:end="-142"/>
        <w:jc w:val="both"/>
        <w:rPr>
          <w:i/>
        </w:rPr>
      </w:pPr>
      <w:r>
        <w:rPr>
          <w:i/>
        </w:rPr>
        <w:t xml:space="preserve">Căn cứ Thông tư số 79/2025/TT-BTC ngày 04/08/2025 của Bộ Tài Chính hướng dẫn việc cung cấp, đăng tải thông tin về đấu thầu và mẫu hồ sơ đấu thầu trên Hệ thống mạng đấu thầu quốc gia;</w:t>
      </w:r>
    </w:p>
    <w:p>
      <w:pPr>
        <w:pStyle w:val="Normal"/>
        <w:spacing w:lineRule="auto" w:line="276" w:before="60" w:after="20"/>
        <w:ind w:firstLine="567" w:end="-144"/>
        <w:jc w:val="both"/>
        <w:rPr>
          <w:i/>
        </w:rPr>
      </w:pPr>
      <w:r>
        <w:rPr>
          <w:i/>
        </w:rPr>
        <w:t xml:space="preserve">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276"/>
        <w:ind w:firstLine="567" w:end="-142"/>
        <w:jc w:val="both"/>
        <w:rPr>
          <w:i/>
          <w:lang w:val="nl-NL"/>
        </w:rPr>
      </w:pPr>
      <w:r>
        <w:rPr>
          <w:i/>
          <w:lang w:val="nl-NL"/>
        </w:rPr>
        <w:t xml:space="preserve">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276" w:before="60" w:after="0"/>
        <w:ind w:firstLine="567" w:end="-142"/>
        <w:jc w:val="both"/>
        <w:rPr>
          <w:i/>
          <w:szCs w:val="26"/>
          <w:lang w:val="vi-VN"/>
        </w:rPr>
      </w:pPr>
      <w:r>
        <w:rPr>
          <w:i/>
          <w:lang w:val="nl-NL"/>
        </w:rPr>
        <w:t xml:space="preserve">Quyết định số 47/2025/QĐ-CTUBND ngày 25/9/2025 của Chủ tịch UBND tỉnh Phú Thọ </w:t>
      </w:r>
      <w:bookmarkStart w:id="0" w:name="loai_1_name"/>
      <w:r>
        <w:rPr>
          <w:i/>
          <w:lang w:val="nl-NL"/>
        </w:rPr>
        <w:t xml:space="preserve">phân cấp thẩm quyền của Chủ tịch Ủy ban nhân dân tỉnh cho người đứng đầu cơ quan, đơn vị trực thuộc thực hiện một số nội dung quản lý đầu tư công trên địa bàn tỉnh Phú Thọ</w:t>
      </w:r>
      <w:bookmarkEnd w:id="0"/>
      <w:r>
        <w:rPr>
          <w:i/>
          <w:lang w:val="vi-VN"/>
        </w:rPr>
        <w:t xml:space="preserve">;</w:t>
      </w:r>
    </w:p>
    <w:p>
      <w:pPr>
        <w:pStyle w:val="Normal"/>
        <w:spacing w:lineRule="auto" w:line="276" w:before="60" w:after="20"/>
        <w:ind w:firstLine="567" w:end="-144"/>
        <w:jc w:val="both"/>
        <w:rPr>
          <w:i/>
        </w:rPr>
      </w:pPr>
      <w:r>
        <w:rPr>
          <w:i/>
        </w:rPr>
        <w:t xml:space="preserve">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76" w:before="60" w:after="20"/>
        <w:ind w:firstLine="567" w:end="-144"/>
        <w:jc w:val="both"/>
        <w:rPr>
          <w:i/>
          <w:lang w:val="vi-VN"/>
        </w:rPr>
      </w:pPr>
      <w:r>
        <w:rPr>
          <w:i/>
        </w:rPr>
        <w:t xml:space="preserve">Căn cứ Văn bản số 4203/SYT-KHTC ngày 25/12/2024 của Sở Y tế Phú Thọ về việc hướng dẫn một số nội dung về quản lý, sử dụng tài sản công</w:t>
      </w:r>
      <w:r>
        <w:rPr>
          <w:i/>
          <w:lang w:val="vi-VN"/>
        </w:rPr>
        <w:t xml:space="preserve">;</w:t>
      </w:r>
    </w:p>
    <w:p>
      <w:pPr>
        <w:pStyle w:val="Normal"/>
        <w:tabs>
          <w:tab w:val="clear" w:pos="720"/>
          <w:tab w:val="left" w:pos="630" w:leader="none"/>
        </w:tabs>
        <w:spacing w:lineRule="auto" w:line="276" w:before="60" w:after="20"/>
        <w:ind w:firstLine="540" w:end="-144"/>
        <w:jc w:val="both"/>
        <w:rPr>
          <w:i/>
          <w:lang w:val="vi-VN"/>
        </w:rPr>
      </w:pPr>
      <w:r>
        <w:rPr>
          <w:i/>
        </w:rPr>
        <w:t xml:space="preserve">Căn cứ Quyết định số 466/QĐ-</w:t>
      </w:r>
      <w:r>
        <w:rPr>
          <w:i/>
          <w:lang w:val="vi-VN"/>
        </w:rPr>
        <w:t xml:space="preserve">UBND</w:t>
      </w:r>
      <w:r>
        <w:rPr>
          <w:i/>
        </w:rPr>
        <w:t xml:space="preserve"> ngày 13/02/2026 của </w:t>
      </w:r>
      <w:r>
        <w:rPr>
          <w:i/>
          <w:lang w:val="vi-VN"/>
        </w:rPr>
        <w:t xml:space="preserve">ủy ban nhân dân tỉnh Phú Thọ</w:t>
      </w:r>
      <w:r>
        <w:rPr>
          <w:i/>
        </w:rPr>
        <w:t xml:space="preserve"> về việc quy định</w:t>
      </w:r>
      <w:r>
        <w:rPr>
          <w:i/>
          <w:lang w:val="vi-VN"/>
        </w:rPr>
        <w:t xml:space="preserve"> vị trí,</w:t>
      </w:r>
      <w:r>
        <w:rPr>
          <w:i/>
        </w:rPr>
        <w:t xml:space="preserve"> chức năng, nhiệm vụ, quyền hạn và cơ cấu tổ chức của Bệnh viện đa khoa tỉnh </w:t>
      </w:r>
      <w:r>
        <w:rPr>
          <w:i/>
          <w:lang w:val="vi-VN"/>
        </w:rPr>
        <w:t xml:space="preserve">Phú Thọ thuộc Sở Y tế tỉnh Phú Thọ;</w:t>
      </w:r>
    </w:p>
    <w:p>
      <w:pPr>
        <w:pStyle w:val="Normal"/>
        <w:widowControl w:val="false"/>
        <w:tabs>
          <w:tab w:val="left" w:pos="540" w:leader="none"/>
          <w:tab w:val="left" w:pos="630" w:leader="none"/>
          <w:tab w:val="left" w:pos="720" w:leader="none"/>
          <w:tab w:val="left" w:pos="1350" w:leader="none"/>
        </w:tabs>
        <w:spacing w:lineRule="auto" w:line="276" w:before="40" w:after="40"/>
        <w:ind w:end="-144"/>
        <w:jc w:val="both"/>
        <w:rPr>
          <w:rFonts w:eastAsia="Calibri"/>
          <w:i/>
          <w:iCs/>
        </w:rPr>
      </w:pPr>
      <w:r>
        <w:rPr>
          <w:i/>
          <w:iCs/>
        </w:rPr>
        <w:tab/>
        <w:t xml:space="preserve">Căn cứ Quyết định số 65/QĐ-BV ngày 05/01/2026 của Giám đốc Bệnh viện </w:t>
      </w:r>
      <w:r>
        <w:rPr>
          <w:rFonts w:eastAsia="Calibri"/>
          <w:i/>
          <w:iCs/>
        </w:rPr>
        <w:t xml:space="preserve">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tabs>
          <w:tab w:val="clear" w:pos="720"/>
          <w:tab w:val="left" w:pos="6660" w:leader="none"/>
          <w:tab w:val="left" w:pos="7290" w:leader="none"/>
        </w:tabs>
        <w:spacing w:lineRule="auto" w:line="276"/>
        <w:ind w:firstLine="630" w:end="-142"/>
        <w:jc w:val="both"/>
        <w:rPr>
          <w:bCs/>
          <w:i/>
          <w:iCs/>
          <w:lang w:val="sv-SE"/>
        </w:rPr>
      </w:pPr>
      <w:r>
        <w:rPr>
          <w:bCs/>
          <w:i/>
          <w:iCs/>
          <w:lang w:val="es-ES"/>
        </w:rPr>
        <w:t xml:space="preserve">Căn cứ Quyết định số </w:t>
      </w:r>
      <w:r>
        <w:rPr>
          <w:bCs/>
          <w:i/>
          <w:iCs/>
          <w:lang w:val="vi-VN"/>
        </w:rPr>
        <w:t xml:space="preserve">1191</w:t>
      </w:r>
      <w:r>
        <w:rPr>
          <w:bCs/>
          <w:i/>
          <w:iCs/>
          <w:lang w:val="es-ES"/>
        </w:rPr>
        <w:t xml:space="preserve">/QĐ-BV ngày 16/03/2026 của Giám đốc Bệnh viện đa khoa tỉnh Phú Thọ về việc phê duyệt chủ trương đầu tư </w:t>
      </w:r>
      <w:r>
        <w:rPr>
          <w:bCs/>
          <w:i/>
          <w:iCs/>
        </w:rPr>
        <w:t xml:space="preserve">mua</w:t>
      </w:r>
      <w:r>
        <w:rPr>
          <w:bCs/>
          <w:i/>
          <w:iCs/>
          <w:lang w:val="vi-VN"/>
        </w:rPr>
        <w:t xml:space="preserve"> sắm băng ghim và dụng cụ cắt khâu nối dùng trong phẫu thuật</w:t>
      </w:r>
      <w:r>
        <w:rPr>
          <w:bCs/>
          <w:i/>
          <w:iCs/>
        </w:rPr>
        <w:t xml:space="preserve"> </w:t>
      </w:r>
      <w:r>
        <w:rPr>
          <w:bCs/>
          <w:i/>
          <w:iCs/>
          <w:lang w:val="vi-VN"/>
        </w:rPr>
        <w:t xml:space="preserve">phục vụ công tác chuyên môn </w:t>
      </w:r>
      <w:r>
        <w:rPr>
          <w:bCs/>
          <w:i/>
          <w:iCs/>
        </w:rPr>
        <w:t xml:space="preserve">tại Bệnh viện đa khoa tỉnh Phú Thọ</w:t>
      </w:r>
      <w:r>
        <w:rPr>
          <w:bCs/>
          <w:i/>
          <w:iCs/>
          <w:lang w:val="sv-SE"/>
        </w:rPr>
        <w:t xml:space="preserve">;</w:t>
      </w:r>
    </w:p>
    <w:p>
      <w:pPr>
        <w:pStyle w:val="Normal"/>
        <w:spacing w:lineRule="auto" w:line="276"/>
        <w:ind w:firstLine="630" w:end="-142"/>
        <w:jc w:val="both"/>
        <w:rPr>
          <w:bCs/>
          <w:i/>
          <w:iCs/>
        </w:rPr>
      </w:pPr>
      <w:r>
        <w:rPr>
          <w:bCs/>
          <w:i/>
          <w:iCs/>
          <w:lang w:val="es-ES"/>
        </w:rPr>
        <w:t xml:space="preserve">Căn cứ Biên bản họp ngày 24/03/2026 của Hội đồng khoa học Bệnh viện về việc xây dựng, thống nhất các nội dung về danh mục, số lượng, tiêu chí kỹ thuật hạng mục:</w:t>
      </w:r>
      <w:r>
        <w:rPr>
          <w:rFonts w:eastAsia="Calibri"/>
          <w:bCs/>
          <w:i/>
          <w:iCs/>
          <w:kern w:val="2"/>
          <w:lang w:val="vi-VN"/>
        </w:rPr>
        <w:t xml:space="preserve"> </w:t>
      </w:r>
      <w:r>
        <w:rPr>
          <w:bCs/>
          <w:i/>
          <w:iCs/>
          <w:lang w:val="vi-VN"/>
        </w:rPr>
        <w:t xml:space="preserve">M</w:t>
      </w:r>
      <w:r>
        <w:rPr>
          <w:bCs/>
          <w:i/>
          <w:iCs/>
        </w:rPr>
        <w:t xml:space="preserve">ua</w:t>
      </w:r>
      <w:r>
        <w:rPr>
          <w:bCs/>
          <w:i/>
          <w:iCs/>
          <w:lang w:val="vi-VN"/>
        </w:rPr>
        <w:t xml:space="preserve"> sắm băng ghim và dụng cụ cắt khâu nối dùng trong phẫu thuật</w:t>
      </w:r>
      <w:r>
        <w:rPr>
          <w:bCs/>
          <w:i/>
          <w:iCs/>
        </w:rPr>
        <w:t xml:space="preserve"> </w:t>
      </w:r>
      <w:r>
        <w:rPr>
          <w:bCs/>
          <w:i/>
          <w:iCs/>
          <w:lang w:val="vi-VN"/>
        </w:rPr>
        <w:t xml:space="preserve">phục vụ công tác chuyên môn </w:t>
      </w:r>
      <w:r>
        <w:rPr>
          <w:bCs/>
          <w:i/>
          <w:iCs/>
        </w:rPr>
        <w:t xml:space="preserve">tại Bệnh viện đa khoa tỉnh Phú Thọ</w:t>
      </w:r>
      <w:r>
        <w:rPr>
          <w:bCs/>
          <w:i/>
          <w:iCs/>
          <w:lang w:val="pt-BR"/>
        </w:rPr>
        <w:t xml:space="preserve">;</w:t>
      </w:r>
    </w:p>
    <w:p>
      <w:pPr>
        <w:pStyle w:val="Normal"/>
        <w:widowControl w:val="false"/>
        <w:tabs>
          <w:tab w:val="left" w:pos="630" w:leader="none"/>
          <w:tab w:val="left" w:pos="720" w:leader="none"/>
        </w:tabs>
        <w:spacing w:lineRule="auto" w:line="276" w:before="40" w:after="40"/>
        <w:ind w:firstLine="567" w:end="-142"/>
        <w:jc w:val="both"/>
        <w:rPr>
          <w:rFonts w:eastAsia="Calibri"/>
          <w:i/>
          <w:iCs/>
        </w:rPr>
      </w:pPr>
      <w:r>
        <w:rPr>
          <w:i/>
          <w:lang w:val="pt-BR"/>
        </w:rPr>
        <w:t xml:space="preserve">Xét đề nghị của tổ trưởng Tổ chuyên gia đấu thầu </w:t>
      </w:r>
      <w:r>
        <w:rPr>
          <w:rFonts w:eastAsia="Calibri"/>
          <w:i/>
          <w:iCs/>
        </w:rPr>
        <w:t xml:space="preserve">các gói thầu mua sắm thiết bị y tế, vật tư tiêu hao, hóa chất xét nghiệm phục vụ công tác khám chữa bệnh tại Bệnh viện đa khoa tỉnh Phú Thọ.</w:t>
      </w:r>
    </w:p>
    <w:p>
      <w:pPr>
        <w:pStyle w:val="Normal"/>
        <w:widowControl w:val="false"/>
        <w:tabs>
          <w:tab w:val="left" w:pos="630" w:leader="none"/>
          <w:tab w:val="left" w:pos="720" w:leader="none"/>
        </w:tabs>
        <w:spacing w:lineRule="auto" w:line="276" w:before="40" w:after="40"/>
        <w:ind w:firstLine="567" w:end="-144"/>
        <w:jc w:val="both"/>
        <w:rPr>
          <w:rFonts w:eastAsia="Calibri"/>
          <w:i/>
          <w:iCs/>
        </w:rPr>
      </w:pPr>
      <w:r>
        <w:rPr>
          <w:rFonts w:eastAsia="Calibri"/>
          <w:i/>
          <w:iCs/>
        </w:rPr>
      </w:r>
    </w:p>
    <w:p>
      <w:pPr>
        <w:pStyle w:val="Normal"/>
        <w:widowControl w:val="false"/>
        <w:spacing w:lineRule="auto" w:line="276" w:before="40" w:after="40"/>
        <w:ind w:firstLine="567" w:end="-144"/>
        <w:jc w:val="center"/>
        <w:rPr>
          <w:b/>
        </w:rPr>
      </w:pPr>
      <w:r>
        <w:rPr>
          <w:b/>
        </w:rPr>
        <w:t xml:space="preserve">QUYẾT ĐỊNH:</w:t>
      </w:r>
    </w:p>
    <w:p>
      <w:pPr>
        <w:pStyle w:val="Normal"/>
        <w:spacing w:lineRule="auto" w:line="276" w:before="120" w:after="60"/>
        <w:ind w:firstLine="567" w:end="-142"/>
        <w:jc w:val="both"/>
        <w:rPr/>
      </w:pPr>
      <w:r>
        <w:rPr>
          <w:b/>
          <w:lang w:val="vi-VN"/>
        </w:rPr>
        <w:t xml:space="preserve">Điều 1</w:t>
      </w:r>
      <w:r>
        <w:rPr/>
        <w:t xml:space="preserve">.</w:t>
      </w:r>
      <w:r>
        <w:rPr>
          <w:b/>
          <w:lang w:val="vi-VN"/>
        </w:rPr>
        <w:t xml:space="preserve"> </w:t>
      </w:r>
      <w:r>
        <w:rPr>
          <w:lang w:val="vi-VN"/>
        </w:rPr>
        <w:t xml:space="preserve">Phê duyệt </w:t>
      </w:r>
      <w:r>
        <w:rPr>
          <w:bCs/>
        </w:rPr>
        <w:t xml:space="preserve">danh mục, số lượng, tiêu chí kỹ thuật cơ bản thuộc hạng mục: </w:t>
      </w:r>
      <w:r>
        <w:rPr>
          <w:bCs/>
          <w:iCs/>
          <w:lang w:val="vi-VN"/>
        </w:rPr>
        <w:t xml:space="preserve">M</w:t>
      </w:r>
      <w:r>
        <w:rPr>
          <w:bCs/>
          <w:iCs/>
        </w:rPr>
        <w:t xml:space="preserve">ua</w:t>
      </w:r>
      <w:r>
        <w:rPr>
          <w:bCs/>
          <w:iCs/>
          <w:lang w:val="vi-VN"/>
        </w:rPr>
        <w:t xml:space="preserve"> sắm băng ghim và dụng cụ cắt khâu nối dùng trong phẫu thuật</w:t>
      </w:r>
      <w:r>
        <w:rPr>
          <w:bCs/>
          <w:iCs/>
        </w:rPr>
        <w:t xml:space="preserve"> </w:t>
      </w:r>
      <w:r>
        <w:rPr>
          <w:bCs/>
          <w:iCs/>
          <w:lang w:val="vi-VN"/>
        </w:rPr>
        <w:t xml:space="preserve">phục vụ công tác chuyên môn </w:t>
      </w:r>
      <w:r>
        <w:rPr>
          <w:bCs/>
          <w:iCs/>
        </w:rPr>
        <w:t xml:space="preserve">tại Bệnh viện đa khoa tỉnh Phú Thọ</w:t>
      </w:r>
      <w:r>
        <w:rPr/>
        <w:t xml:space="preserve"> với nội dung cụ thể như phụ lục kèm theo.</w:t>
      </w:r>
    </w:p>
    <w:p>
      <w:pPr>
        <w:pStyle w:val="Normal"/>
        <w:spacing w:lineRule="auto" w:line="276" w:before="120" w:after="60"/>
        <w:ind w:firstLine="567" w:end="-144"/>
        <w:jc w:val="both"/>
        <w:rPr/>
      </w:pPr>
      <w:r>
        <w:rPr>
          <w:b/>
        </w:rPr>
        <w:t xml:space="preserve">Điều 2</w:t>
      </w:r>
      <w:r>
        <w:rPr/>
        <w:t xml:space="preserve">. Giao phòng Vật tư - thiết bị y tế, phòng Tài chính kế toán, Tổ chuyên gia, các khoa, phòng, trung tâm và các đơn vị liên quan thực hiện các công việc tổ chức lựa chọn nhà thầu cung </w:t>
      </w:r>
      <w:r>
        <w:rPr>
          <w:lang w:val="vi-VN"/>
        </w:rPr>
        <w:t xml:space="preserve">cấp </w:t>
      </w:r>
      <w:r>
        <w:rPr/>
        <w:t xml:space="preserve">vật tư </w:t>
      </w:r>
      <w:r>
        <w:rPr>
          <w:lang w:val="vi-VN"/>
        </w:rPr>
        <w:t xml:space="preserve">y tế </w:t>
      </w:r>
      <w:r>
        <w:rPr/>
        <w:t xml:space="preserve">theo quy định hiện hành của pháp luật.</w:t>
      </w:r>
    </w:p>
    <w:p>
      <w:pPr>
        <w:pStyle w:val="Normal"/>
        <w:spacing w:lineRule="auto" w:line="276" w:before="120" w:after="360"/>
        <w:ind w:firstLine="567" w:end="-144"/>
        <w:jc w:val="both"/>
        <w:rPr/>
      </w:pPr>
      <w:r>
        <w:rPr>
          <w:b/>
        </w:rPr>
        <w:t xml:space="preserve">Điều 3</w:t>
      </w:r>
      <w:r>
        <w:rPr/>
        <w:t xml:space="preserve">. Quyết định này có hiệu lực kể từ ngày ký. Phòng Vật tư - thiết bị y tế, phòng Tài chính kế toán, Tổ chuyên gia, các khoa, phòng, trung tâm và các đơn vị liên quan chịu trách nhiệm thi hành quyết định này./.</w:t>
      </w:r>
    </w:p>
    <w:tbl>
      <w:tblPr>
        <w:tblW w:w="10064" w:type="dxa"/>
        <w:jc w:val="left"/>
        <w:tblInd w:w="-34" w:type="dxa"/>
        <w:tblLayout w:type="fixed"/>
        <w:tblCellMar>
          <w:top w:w="0" w:type="dxa"/>
          <w:start w:w="108" w:type="dxa"/>
          <w:bottom w:w="0" w:type="dxa"/>
          <w:end w:w="108" w:type="dxa"/>
        </w:tblCellMar>
      </w:tblPr>
      <w:tblGrid>
        <w:gridCol w:w="3686"/>
        <w:gridCol w:w="6378"/>
      </w:tblGrid>
      <w:tr>
        <w:trPr/>
        <w:tc>
          <w:tcPr>
            <w:tcW w:w="3686" w:type="dxa"/>
            <w:tcBorders/>
          </w:tcPr>
          <w:p>
            <w:pPr>
              <w:pStyle w:val="Normal"/>
              <w:spacing w:lineRule="auto" w:line="276"/>
              <w:ind w:end="-144"/>
              <w:jc w:val="both"/>
              <w:rPr>
                <w:b/>
                <w:i/>
                <w:iCs/>
                <w:sz w:val="24"/>
                <w:szCs w:val="26"/>
              </w:rPr>
            </w:pPr>
            <w:r>
              <w:rPr>
                <w:b/>
                <w:i/>
                <w:iCs/>
                <w:sz w:val="24"/>
                <w:szCs w:val="26"/>
              </w:rPr>
              <w:t xml:space="preserve">Nơi nhận:</w:t>
            </w:r>
          </w:p>
          <w:p>
            <w:pPr>
              <w:pStyle w:val="Normal"/>
              <w:spacing w:lineRule="auto" w:line="276"/>
              <w:ind w:end="-144"/>
              <w:jc w:val="both"/>
              <w:rPr>
                <w:iCs/>
                <w:sz w:val="22"/>
                <w:szCs w:val="22"/>
              </w:rPr>
            </w:pPr>
            <w:r>
              <w:rPr>
                <w:iCs/>
                <w:sz w:val="24"/>
                <w:szCs w:val="26"/>
              </w:rPr>
              <w:t xml:space="preserve">- </w:t>
            </w:r>
            <w:r>
              <w:rPr>
                <w:iCs/>
                <w:sz w:val="22"/>
                <w:szCs w:val="22"/>
              </w:rPr>
              <w:t xml:space="preserve">Như điều 3;</w:t>
            </w:r>
          </w:p>
          <w:p>
            <w:pPr>
              <w:pStyle w:val="Normal"/>
              <w:tabs>
                <w:tab w:val="clear" w:pos="720"/>
                <w:tab w:val="left" w:pos="270" w:leader="none"/>
              </w:tabs>
              <w:spacing w:lineRule="auto" w:line="276"/>
              <w:ind w:end="-144"/>
              <w:jc w:val="both"/>
              <w:rPr>
                <w:iCs/>
                <w:sz w:val="22"/>
                <w:szCs w:val="22"/>
                <w:lang w:val="fr-FR"/>
              </w:rPr>
            </w:pPr>
            <w:r>
              <w:rPr>
                <w:iCs/>
                <w:sz w:val="22"/>
                <w:szCs w:val="22"/>
                <w:lang w:val="fr-FR"/>
              </w:rPr>
              <w:t xml:space="preserve">- Lưu: VT, TCG, TCKT, VTYT.</w:t>
            </w:r>
          </w:p>
          <w:p>
            <w:pPr>
              <w:pStyle w:val="Normal"/>
              <w:spacing w:lineRule="auto" w:line="276"/>
              <w:ind w:end="-144"/>
              <w:jc w:val="center"/>
              <w:rPr>
                <w:b/>
                <w:bCs/>
                <w:i/>
                <w:iCs/>
                <w:sz w:val="26"/>
                <w:szCs w:val="26"/>
                <w:lang w:val="fr-FR"/>
              </w:rPr>
            </w:pPr>
            <w:r>
              <w:rPr>
                <w:b/>
                <w:bCs/>
                <w:i/>
                <w:iCs/>
                <w:sz w:val="26"/>
                <w:szCs w:val="26"/>
                <w:lang w:val="fr-FR"/>
              </w:rPr>
            </w:r>
          </w:p>
        </w:tc>
        <w:tc>
          <w:tcPr>
            <w:tcW w:w="6378" w:type="dxa"/>
            <w:tcBorders/>
          </w:tcPr>
          <w:p>
            <w:pPr>
              <w:pStyle w:val="Normal"/>
              <w:spacing w:lineRule="auto" w:line="276"/>
              <w:ind w:end="-144"/>
              <w:jc w:val="center"/>
              <w:rPr>
                <w:b/>
                <w:lang w:val="fr-FR"/>
              </w:rPr>
            </w:pPr>
            <w:r>
              <w:rPr>
                <w:b/>
                <w:lang w:val="fr-FR"/>
              </w:rPr>
              <w:t xml:space="preserve">GIÁM ĐỐC</w:t>
            </w:r>
          </w:p>
          <w:p>
            <w:pPr>
              <w:pStyle w:val="Normal"/>
              <w:spacing w:lineRule="auto" w:line="276"/>
              <w:ind w:end="-144"/>
              <w:jc w:val="center"/>
              <w:rPr>
                <w:b/>
                <w:sz w:val="26"/>
                <w:szCs w:val="26"/>
                <w:lang w:val="fr-FR"/>
              </w:rPr>
            </w:pPr>
            <w:r>
              <w:rPr>
                <w:b/>
                <w:sz w:val="26"/>
                <w:szCs w:val="26"/>
                <w:lang w:val="fr-FR"/>
              </w:rPr>
            </w:r>
          </w:p>
          <w:p>
            <w:pPr>
              <w:pStyle w:val="Normal"/>
              <w:spacing w:lineRule="auto" w:line="276" w:before="0" w:after="120"/>
              <w:ind w:end="-144"/>
              <w:jc w:val="center"/>
              <w:rPr>
                <w:b/>
                <w:sz w:val="26"/>
                <w:szCs w:val="26"/>
                <w:lang w:val="fr-FR"/>
              </w:rPr>
            </w:pPr>
            <w:r>
              <w:rPr>
                <w:b/>
                <w:sz w:val="26"/>
                <w:szCs w:val="26"/>
                <w:lang w:val="fr-FR"/>
              </w:rPr>
            </w:r>
          </w:p>
          <w:p>
            <w:pPr>
              <w:pStyle w:val="Normal"/>
              <w:spacing w:lineRule="auto" w:line="276"/>
              <w:ind w:end="-144"/>
              <w:jc w:val="center"/>
              <w:rPr>
                <w:b/>
                <w:sz w:val="26"/>
                <w:szCs w:val="26"/>
                <w:lang w:val="fr-FR"/>
              </w:rPr>
            </w:pPr>
            <w:r>
              <w:rPr>
                <w:b/>
                <w:sz w:val="26"/>
                <w:szCs w:val="26"/>
                <w:lang w:val="fr-FR"/>
              </w:rPr>
            </w:r>
          </w:p>
          <w:p>
            <w:pPr>
              <w:pStyle w:val="Normal"/>
              <w:spacing w:lineRule="auto" w:line="276"/>
              <w:ind w:end="-144"/>
              <w:jc w:val="center"/>
              <w:rPr>
                <w:b/>
                <w:sz w:val="26"/>
                <w:szCs w:val="26"/>
                <w:lang w:val="fr-FR"/>
              </w:rPr>
            </w:pPr>
            <w:r>
              <w:rPr>
                <w:b/>
                <w:sz w:val="26"/>
                <w:szCs w:val="26"/>
                <w:lang w:val="fr-FR"/>
              </w:rPr>
            </w:r>
          </w:p>
          <w:p>
            <w:pPr>
              <w:pStyle w:val="Normal"/>
              <w:spacing w:lineRule="auto" w:line="276"/>
              <w:ind w:end="-144"/>
              <w:jc w:val="center"/>
              <w:rPr>
                <w:b/>
                <w:lang w:val="fr-FR"/>
              </w:rPr>
            </w:pPr>
            <w:r>
              <w:rPr>
                <w:b/>
                <w:sz w:val="26"/>
                <w:szCs w:val="26"/>
                <w:lang w:val="fr-FR"/>
              </w:rPr>
              <w:t xml:space="preserve"> </w:t>
            </w:r>
            <w:r>
              <w:rPr>
                <w:b/>
                <w:lang w:val="fr-FR"/>
              </w:rPr>
              <w:t xml:space="preserve">Lê Đình Thanh Sơn</w:t>
            </w:r>
          </w:p>
        </w:tc>
      </w:tr>
    </w:tbl>
    <w:p>
      <w:pPr>
        <w:sectPr>
          <w:headerReference w:type="default" r:id="rId2"/>
          <w:headerReference w:type="first" r:id="rId3"/>
          <w:footerReference w:type="default" r:id="rId4"/>
          <w:footerReference w:type="first" r:id="rId5"/>
          <w:type w:val="nextPage"/>
          <w:pgSz w:w="11906" w:h="16838"/>
          <w:pgMar w:left="1701" w:right="1134" w:gutter="0" w:header="0" w:top="1134" w:footer="0" w:bottom="1134"/>
          <w:pgNumType w:fmt="decimal"/>
          <w:formProt w:val="false"/>
          <w:titlePg/>
          <w:textDirection w:val="lrTb"/>
          <w:docGrid w:type="default" w:linePitch="381" w:charSpace="0"/>
        </w:sectPr>
      </w:pPr>
    </w:p>
    <w:p>
      <w:pPr>
        <w:pStyle w:val="Normal"/>
        <w:tabs>
          <w:tab w:val="clear" w:pos="720"/>
          <w:tab w:val="left" w:pos="900" w:leader="none"/>
        </w:tabs>
        <w:spacing w:lineRule="auto" w:line="240"/>
        <w:ind w:end="-142"/>
        <w:jc w:val="center"/>
        <w:rPr>
          <w:b/>
        </w:rPr>
      </w:pPr>
      <w:r>
        <w:rPr>
          <w:b/>
        </w:rPr>
        <w:t xml:space="preserve">PHỤ LỤC</w:t>
      </w:r>
    </w:p>
    <w:p>
      <w:pPr>
        <w:pStyle w:val="Normal"/>
        <w:tabs>
          <w:tab w:val="clear" w:pos="720"/>
          <w:tab w:val="left" w:pos="900" w:leader="none"/>
        </w:tabs>
        <w:spacing w:lineRule="auto" w:line="240"/>
        <w:ind w:end="-142"/>
        <w:jc w:val="center"/>
        <w:rPr>
          <w:b/>
        </w:rPr>
      </w:pPr>
      <w:r>
        <w:rPr>
          <w:b/>
        </w:rPr>
        <w:t xml:space="preserve">Danh mục, số lượng, tiêu chí kỹ thuật cơ bản của hạng mục: </w:t>
      </w:r>
    </w:p>
    <w:p>
      <w:pPr>
        <w:pStyle w:val="Normal"/>
        <w:tabs>
          <w:tab w:val="clear" w:pos="720"/>
          <w:tab w:val="left" w:pos="900" w:leader="none"/>
        </w:tabs>
        <w:spacing w:lineRule="auto" w:line="240" w:before="40" w:after="0"/>
        <w:ind w:start="720" w:end="-144"/>
        <w:jc w:val="center"/>
        <w:rPr>
          <w:b/>
        </w:rPr>
      </w:pPr>
      <w:r>
        <w:rPr>
          <w:b/>
          <w:bCs/>
          <w:iCs/>
          <w:lang w:val="vi-VN"/>
        </w:rPr>
        <w:t xml:space="preserve">M</w:t>
      </w:r>
      <w:r>
        <w:rPr>
          <w:b/>
          <w:bCs/>
          <w:iCs/>
        </w:rPr>
        <w:t xml:space="preserve">ua</w:t>
      </w:r>
      <w:r>
        <w:rPr>
          <w:b/>
          <w:bCs/>
          <w:iCs/>
          <w:lang w:val="vi-VN"/>
        </w:rPr>
        <w:t xml:space="preserve"> sắm băng ghim và dụng cụ cắt khâu nối dùng trong phẫu thuật</w:t>
      </w:r>
      <w:r>
        <w:rPr>
          <w:b/>
          <w:bCs/>
          <w:iCs/>
        </w:rPr>
        <w:t xml:space="preserve"> </w:t>
      </w:r>
      <w:r>
        <w:rPr>
          <w:b/>
          <w:bCs/>
          <w:iCs/>
          <w:lang w:val="vi-VN"/>
        </w:rPr>
        <w:t xml:space="preserve">phục vụ công tác chuyên môn </w:t>
      </w:r>
      <w:r>
        <w:rPr>
          <w:b/>
          <w:bCs/>
          <w:iCs/>
        </w:rPr>
        <w:t xml:space="preserve">tại Bệnh viện đa khoa tỉnh Phú Thọ</w:t>
      </w:r>
      <w:r>
        <w:rPr>
          <w:b/>
        </w:rPr>
        <w:t xml:space="preserve"> </w:t>
      </w:r>
    </w:p>
    <w:p>
      <w:pPr>
        <w:pStyle w:val="Normal"/>
        <w:tabs>
          <w:tab w:val="clear" w:pos="720"/>
          <w:tab w:val="left" w:pos="900" w:leader="none"/>
        </w:tabs>
        <w:spacing w:lineRule="auto" w:line="240" w:before="40" w:after="0"/>
        <w:ind w:start="720" w:end="-144"/>
        <w:jc w:val="center"/>
        <w:rPr>
          <w:i/>
        </w:rPr>
      </w:pPr>
      <w:r>
        <w:rPr>
          <w:i/>
        </w:rPr>
        <w:t xml:space="preserve">(Kèm theo Quyết định số</w:t>
      </w:r>
      <w:r>
        <w:rPr>
          <w:i/>
          <w:lang w:val="vi-VN"/>
        </w:rPr>
        <w:t xml:space="preserve"> </w:t>
      </w:r>
      <w:r>
        <w:rPr>
          <w:i/>
        </w:rPr>
        <w:t xml:space="preserve">/QĐ-BV ngày 25/03/2026 của Giám đốc Bệnh viện đa khoa tỉnh Phú Thọ)</w:t>
      </w:r>
    </w:p>
    <w:p>
      <w:pPr>
        <w:pStyle w:val="Normal"/>
        <w:tabs>
          <w:tab w:val="clear" w:pos="720"/>
          <w:tab w:val="left" w:pos="900" w:leader="none"/>
        </w:tabs>
        <w:spacing w:lineRule="auto" w:line="276" w:before="40" w:after="0"/>
        <w:ind w:end="-144"/>
        <w:rPr>
          <w:i/>
          <w:sz w:val="10"/>
        </w:rPr>
      </w:pPr>
      <w:r>
        <w:rPr>
          <w:i/>
          <w:sz w:val="10"/>
        </w:rPr>
      </w:r>
    </w:p>
    <w:tbl>
      <w:tblPr>
        <w:tblW w:w="14744" w:type="dxa"/>
        <w:jc w:val="left"/>
        <w:tblInd w:w="-176" w:type="dxa"/>
        <w:tblLayout w:type="fixed"/>
        <w:tblCellMar>
          <w:top w:w="0" w:type="dxa"/>
          <w:start w:w="108" w:type="dxa"/>
          <w:bottom w:w="0" w:type="dxa"/>
          <w:end w:w="108" w:type="dxa"/>
        </w:tblCellMar>
      </w:tblPr>
      <w:tblGrid>
        <w:gridCol w:w="772"/>
        <w:gridCol w:w="2489"/>
        <w:gridCol w:w="7796"/>
        <w:gridCol w:w="1276"/>
        <w:gridCol w:w="1134"/>
        <w:gridCol w:w="1277"/>
      </w:tblGrid>
      <w:tr>
        <w:trPr>
          <w:tblHeader/>
          <w:trHeight w:val="740" w:hRule="atLeast"/>
        </w:trPr>
        <w:tc>
          <w:tcPr>
            <w:tcW w:w="7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40"/>
              <w:jc w:val="center"/>
              <w:rPr>
                <w:b/>
                <w:sz w:val="26"/>
                <w:szCs w:val="26"/>
              </w:rPr>
            </w:pPr>
            <w:bookmarkStart w:id="1" w:name="_Hlk205815284"/>
            <w:bookmarkEnd w:id="1"/>
            <w:r>
              <w:rPr>
                <w:b/>
                <w:sz w:val="26"/>
                <w:szCs w:val="26"/>
              </w:rPr>
              <w:t xml:space="preserve">TT</w:t>
            </w:r>
          </w:p>
        </w:tc>
        <w:tc>
          <w:tcPr>
            <w:tcW w:w="24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40"/>
              <w:jc w:val="center"/>
              <w:rPr>
                <w:b/>
                <w:sz w:val="26"/>
                <w:szCs w:val="26"/>
              </w:rPr>
            </w:pPr>
            <w:r>
              <w:rPr>
                <w:b/>
                <w:sz w:val="26"/>
                <w:szCs w:val="26"/>
              </w:rPr>
              <w:t xml:space="preserve">Tên vật tư </w:t>
            </w:r>
            <w:r>
              <w:rPr>
                <w:b/>
                <w:sz w:val="26"/>
                <w:szCs w:val="26"/>
                <w:lang w:val="vi-VN"/>
              </w:rPr>
              <w:t xml:space="preserve">y tế</w:t>
            </w:r>
            <w:r>
              <w:rPr>
                <w:b/>
                <w:sz w:val="26"/>
                <w:szCs w:val="26"/>
              </w:rPr>
              <w:t xml:space="preserve"> </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40"/>
              <w:jc w:val="center"/>
              <w:rPr>
                <w:b/>
                <w:sz w:val="26"/>
                <w:szCs w:val="26"/>
              </w:rPr>
            </w:pPr>
            <w:r>
              <w:rPr>
                <w:b/>
                <w:sz w:val="26"/>
                <w:szCs w:val="26"/>
              </w:rPr>
              <w:t xml:space="preserve">Tiêu chí kỹ thuật</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40"/>
              <w:jc w:val="center"/>
              <w:rPr>
                <w:b/>
                <w:sz w:val="26"/>
                <w:szCs w:val="26"/>
              </w:rPr>
            </w:pPr>
            <w:r>
              <w:rPr>
                <w:b/>
                <w:sz w:val="26"/>
                <w:szCs w:val="26"/>
              </w:rPr>
              <w:t xml:space="preserve">Quy cách</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40"/>
              <w:jc w:val="center"/>
              <w:rPr>
                <w:b/>
                <w:sz w:val="26"/>
                <w:szCs w:val="26"/>
              </w:rPr>
            </w:pPr>
            <w:r>
              <w:rPr>
                <w:b/>
                <w:sz w:val="26"/>
                <w:szCs w:val="26"/>
              </w:rPr>
              <w:t xml:space="preserve">Đơn vị tính</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40" w:after="40"/>
              <w:jc w:val="center"/>
              <w:rPr>
                <w:b/>
                <w:sz w:val="26"/>
                <w:szCs w:val="26"/>
              </w:rPr>
            </w:pPr>
            <w:r>
              <w:rPr>
                <w:b/>
                <w:sz w:val="26"/>
                <w:szCs w:val="26"/>
              </w:rPr>
              <w:t xml:space="preserve">Số lượng</w:t>
            </w:r>
          </w:p>
        </w:tc>
      </w:tr>
      <w:tr>
        <w:trPr>
          <w:trHeight w:val="907" w:hRule="atLeast"/>
        </w:trPr>
        <w:tc>
          <w:tcPr>
            <w:tcW w:w="7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1</w:t>
            </w:r>
          </w:p>
        </w:tc>
        <w:tc>
          <w:tcPr>
            <w:tcW w:w="24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eastAsia="Calibri" w:cs="Arial"/>
                <w:sz w:val="26"/>
                <w:szCs w:val="26"/>
                <w:lang w:val="vi-VN"/>
              </w:rPr>
            </w:pPr>
            <w:r>
              <w:rPr>
                <w:rFonts w:eastAsia="Calibri" w:cs="Arial"/>
                <w:sz w:val="26"/>
                <w:szCs w:val="26"/>
                <w:lang w:val="vi-VN"/>
              </w:rPr>
              <w:t xml:space="preserve">Băng ghim dùng trong mổ mở</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 xml:space="preserve">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 xml:space="preserve">6 cái/ Hộp</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Cái</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110</w:t>
            </w:r>
          </w:p>
        </w:tc>
      </w:tr>
      <w:tr>
        <w:trPr>
          <w:trHeight w:val="856" w:hRule="atLeast"/>
        </w:trPr>
        <w:tc>
          <w:tcPr>
            <w:tcW w:w="7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2</w:t>
            </w:r>
          </w:p>
        </w:tc>
        <w:tc>
          <w:tcPr>
            <w:tcW w:w="24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eastAsia="Calibri" w:cs="Arial"/>
                <w:sz w:val="26"/>
                <w:szCs w:val="26"/>
                <w:lang w:val="vi-VN"/>
              </w:rPr>
            </w:pPr>
            <w:r>
              <w:rPr>
                <w:rFonts w:eastAsia="Calibri" w:cs="Arial"/>
                <w:sz w:val="26"/>
                <w:szCs w:val="26"/>
                <w:lang w:val="vi-VN"/>
              </w:rPr>
              <w:t xml:space="preserve">Dụng cụ khâu nối tròn ba hàng ghim</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 xml:space="preserve">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 xml:space="preserve">3 cái / Hộp</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 </w:t>
            </w:r>
            <w:r>
              <w:rPr>
                <w:color w:val="000000"/>
                <w:sz w:val="26"/>
                <w:szCs w:val="26"/>
                <w:lang w:val="vi-VN"/>
              </w:rPr>
              <w:t xml:space="preserve">Cái</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20</w:t>
            </w:r>
          </w:p>
        </w:tc>
      </w:tr>
      <w:tr>
        <w:trPr>
          <w:trHeight w:val="889" w:hRule="atLeast"/>
        </w:trPr>
        <w:tc>
          <w:tcPr>
            <w:tcW w:w="7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3</w:t>
            </w:r>
          </w:p>
        </w:tc>
        <w:tc>
          <w:tcPr>
            <w:tcW w:w="24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jc w:val="center"/>
              <w:rPr>
                <w:rFonts w:eastAsia="Calibri" w:cs="Arial"/>
                <w:sz w:val="26"/>
                <w:szCs w:val="26"/>
                <w:lang w:val="vi-VN"/>
              </w:rPr>
            </w:pPr>
            <w:r>
              <w:rPr>
                <w:rFonts w:eastAsia="Calibri" w:cs="Arial"/>
                <w:sz w:val="26"/>
                <w:szCs w:val="26"/>
                <w:lang w:val="vi-VN"/>
              </w:rPr>
              <w:t xml:space="preserve">Dụng cụ khâu cắt nội soi</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 xml:space="preserve">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 xml:space="preserve">3 cái/ Hộp</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Cái</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05</w:t>
            </w:r>
          </w:p>
        </w:tc>
      </w:tr>
      <w:tr>
        <w:trPr>
          <w:trHeight w:val="1112" w:hRule="atLeast"/>
        </w:trPr>
        <w:tc>
          <w:tcPr>
            <w:tcW w:w="7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4</w:t>
            </w:r>
          </w:p>
        </w:tc>
        <w:tc>
          <w:tcPr>
            <w:tcW w:w="2489"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s="Arial"/>
                <w:sz w:val="26"/>
                <w:szCs w:val="26"/>
                <w:lang w:val="vi-VN"/>
              </w:rPr>
            </w:pPr>
            <w:r>
              <w:rPr>
                <w:rFonts w:eastAsia="Calibri" w:cs="Arial"/>
                <w:sz w:val="26"/>
                <w:szCs w:val="26"/>
                <w:lang w:val="vi-VN"/>
              </w:rPr>
              <w:t xml:space="preserve">Băng ghim cắt khâu nối nội soi các cỡ</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76"/>
              <w:rPr>
                <w:sz w:val="26"/>
                <w:szCs w:val="26"/>
              </w:rPr>
            </w:pPr>
            <w:r>
              <w:rPr>
                <w:sz w:val="26"/>
                <w:szCs w:val="26"/>
              </w:rPr>
              <w:t xml:space="preserve">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6"/>
                <w:szCs w:val="26"/>
                <w:lang w:val="vi-VN"/>
              </w:rPr>
            </w:pPr>
            <w:r>
              <w:rPr>
                <w:sz w:val="26"/>
                <w:szCs w:val="26"/>
                <w:lang w:val="vi-VN"/>
              </w:rPr>
              <w:t xml:space="preserve">6 cái/ Hộp</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Cái</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6"/>
                <w:szCs w:val="26"/>
                <w:lang w:val="vi-VN"/>
              </w:rPr>
            </w:pPr>
            <w:r>
              <w:rPr>
                <w:color w:val="000000"/>
                <w:sz w:val="26"/>
                <w:szCs w:val="26"/>
                <w:lang w:val="vi-VN"/>
              </w:rPr>
              <w:t xml:space="preserve">262</w:t>
            </w:r>
          </w:p>
        </w:tc>
      </w:tr>
    </w:tbl>
    <w:p>
      <w:pPr>
        <w:pStyle w:val="Normal"/>
        <w:tabs>
          <w:tab w:val="clear" w:pos="720"/>
          <w:tab w:val="left" w:pos="900" w:leader="none"/>
        </w:tabs>
        <w:spacing w:lineRule="auto" w:line="276" w:before="40" w:after="60"/>
        <w:ind w:end="-144"/>
        <w:rPr>
          <w:i/>
          <w:sz w:val="26"/>
          <w:szCs w:val="26"/>
          <w:lang w:val="vi-VN"/>
        </w:rPr>
      </w:pPr>
      <w:r>
        <w:rPr>
          <w:i/>
          <w:sz w:val="26"/>
          <w:szCs w:val="26"/>
          <w:lang w:val="vi-VN"/>
        </w:rPr>
      </w:r>
    </w:p>
    <w:sectPr>
      <w:headerReference w:type="default" r:id="rId6"/>
      <w:headerReference w:type="first" r:id="rId7"/>
      <w:footerReference w:type="default" r:id="rId8"/>
      <w:footerReference w:type="first" r:id="rId9"/>
      <w:type w:val="nextPage"/>
      <w:pgSz w:orient="landscape" w:w="16838" w:h="11906"/>
      <w:pgMar w:left="1701" w:right="1134" w:gutter="0" w:header="0" w:top="426" w:footer="0" w:bottom="56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Courier New">
    <w:family w:val="modern"/>
    <w:pitch w:val="default"/>
  </w:font>
  <w:font w:name="Wingdings">
    <w:family w:val="auto"/>
    <w:pitch w:val="variable"/>
  </w:font>
  <w:font w:name="Segoe UI">
    <w:family w:val="swiss"/>
    <w:pitch w:val="variable"/>
  </w:font>
  <w:font w:name="Calibri">
    <w:family w:val="swiss"/>
    <w:pitch w:val="variable"/>
  </w:font>
  <w:font w:name="Liberation Sans">
    <w:altName w:val="Arial"/>
    <w:family w:val="swiss"/>
    <w:pitch w:val="variable"/>
  </w:font>
  <w:font w:name="Times New Roman Bold">
    <w:altName w:val="Vni 03 LinotypeZapfino Three"/>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cen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jc w:val="center"/>
      <w:rPr/>
    </w:pPr>
    <w:r>
      <w:rPr/>
    </w:r>
  </w:p>
  <w:p>
    <w:pPr>
      <w:pStyle w:val="Header"/>
      <w:jc w:val="center"/>
      <w:rPr/>
    </w:pPr>
    <w:r>
      <w:rPr/>
      <w:fldChar w:fldCharType="begin"/>
    </w:r>
    <w:r>
      <w:rPr/>
      <w:instrText xml:space="preserve"> PAGE </w:instrText>
    </w:r>
    <w:r>
      <w:rPr/>
      <w:fldChar w:fldCharType="separate"/>
    </w:r>
    <w:r>
      <w:rPr/>
      <w:t>3</w:t>
    </w:r>
    <w:r>
      <w:rPr/>
      <w:fldChar w:fldCharType="end"/>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jc w:val="center"/>
      <w:rPr/>
    </w:pPr>
    <w:r>
      <w:rPr/>
    </w:r>
  </w:p>
  <w:p>
    <w:pPr>
      <w:pStyle w:val="Header"/>
      <w:jc w:val="center"/>
      <w:rPr/>
    </w:pPr>
    <w:r>
      <w:rPr/>
      <w:fldChar w:fldCharType="begin"/>
    </w:r>
    <w:r>
      <w:rPr/>
      <w:instrText xml:space="preserve"> PAGE </w:instrText>
    </w:r>
    <w:r>
      <w:rPr/>
      <w:fldChar w:fldCharType="separate"/>
    </w:r>
    <w:r>
      <w:rPr/>
      <w:t>5</w:t>
    </w:r>
    <w:r>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suff w:val="nothing"/>
      <w:lvlText w:val=""/>
      <w:lvlJc w:val="left"/>
      <w:pPr>
        <w:tabs>
          <w:tab w:val="num" w:pos="0"/>
        </w:tabs>
        <w:ind w:start="0" w:hanging="0"/>
      </w:pPr>
    </w:lvl>
    <w:lvl w:ilvl="3">
      <w:start w:val="1"/>
      <w:numFmt w:val="none"/>
      <w:suff w:val="nothing"/>
      <w:lvlText w:val=""/>
      <w:lvlJc w:val="left"/>
      <w:pPr>
        <w:tabs>
          <w:tab w:val="num" w:pos="0"/>
        </w:tabs>
        <w:ind w:start="0" w:hanging="0"/>
      </w:pPr>
    </w:lvl>
    <w:lvl w:ilvl="4">
      <w:start w:val="1"/>
      <w:numFmt w:val="none"/>
      <w:suff w:val="nothing"/>
      <w:lvlText w:val=""/>
      <w:lvlJc w:val="left"/>
      <w:pPr>
        <w:tabs>
          <w:tab w:val="num" w:pos="0"/>
        </w:tabs>
        <w:ind w:start="0" w:hanging="0"/>
      </w:pPr>
    </w:lvl>
    <w:lvl w:ilvl="5">
      <w:start w:val="1"/>
      <w:numFmt w:val="none"/>
      <w:suff w:val="nothing"/>
      <w:lvlText w:val=""/>
      <w:lvlJc w:val="left"/>
      <w:pPr>
        <w:tabs>
          <w:tab w:val="num" w:pos="0"/>
        </w:tabs>
        <w:ind w:start="0" w:hanging="0"/>
      </w:pPr>
    </w:lvl>
    <w:lvl w:ilvl="6">
      <w:start w:val="1"/>
      <w:numFmt w:val="none"/>
      <w:suff w:val="nothing"/>
      <w:lvlText w:val=""/>
      <w:lvlJc w:val="left"/>
      <w:pPr>
        <w:tabs>
          <w:tab w:val="num" w:pos="0"/>
        </w:tabs>
        <w:ind w:start="0" w:hanging="0"/>
      </w:pPr>
    </w:lvl>
    <w:lvl w:ilvl="7">
      <w:start w:val="1"/>
      <w:numFmt w:val="none"/>
      <w:suff w:val="nothing"/>
      <w:lvlText w:val=""/>
      <w:lvlJc w:val="left"/>
      <w:pPr>
        <w:tabs>
          <w:tab w:val="num" w:pos="0"/>
        </w:tabs>
        <w:ind w:start="0" w:hanging="0"/>
      </w:pPr>
    </w:lvl>
    <w:lvl w:ilvl="8">
      <w:start w:val="1"/>
      <w:numFmt w:val="none"/>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spacing w:lineRule="auto" w:line="312"/>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outlineLvl w:val="0"/>
    </w:pPr>
    <w:rPr/>
  </w:style>
  <w:style w:type="paragraph" w:styleId="Heading2">
    <w:name w:val="heading 2"/>
    <w:basedOn w:val="Normal"/>
    <w:next w:val="Normal"/>
    <w:qFormat/>
    <w:pPr>
      <w:keepNext w:val="true"/>
      <w:numPr>
        <w:ilvl w:val="1"/>
        <w:numId w:val="1"/>
      </w:numPr>
      <w:jc w:val="center"/>
      <w:outlineLvl w:val="1"/>
    </w:pPr>
    <w:rPr>
      <w:b/>
      <w:bCs/>
    </w:rPr>
  </w:style>
  <w:style w:type="character" w:styleId="WW8Num1z0">
    <w:name w:val="WW8Num1z0"/>
    <w:qFormat/>
    <w:rPr>
      <w:b/>
    </w:rPr>
  </w:style>
  <w:style w:type="character" w:styleId="WW8Num1z2">
    <w:name w:val="WW8Num1z2"/>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5z0">
    <w:name w:val="WW8Num5z0"/>
    <w:qFormat/>
    <w:rPr>
      <w:b w:val="false"/>
    </w:rPr>
  </w:style>
  <w:style w:type="character" w:styleId="WW8Num6z0">
    <w:name w:val="WW8Num6z0"/>
    <w:qFormat/>
    <w:rPr>
      <w:rFonts w:ascii="Times New Roman" w:hAnsi="Times New Roman" w:eastAsia="Calibri"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style>
  <w:style w:type="character" w:styleId="WW8Num11z0">
    <w:name w:val="WW8Num11z0"/>
    <w:qFormat/>
    <w:rPr>
      <w:rFonts w:ascii="Times New Roman" w:hAnsi="Times New Roman" w:eastAsia="MS Mincho"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eastAsia="Calibri" w:cs="Times New Roman"/>
      <w:b/>
    </w:rPr>
  </w:style>
  <w:style w:type="character" w:styleId="WW8Num13z0">
    <w:name w:val="WW8Num13z0"/>
    <w:qFormat/>
    <w:rPr>
      <w:rFonts w:ascii="Times New Roman" w:hAnsi="Times New Roman" w:eastAsia="Malgun Gothic" w:cs="Times New Roman"/>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Malgun Gothic"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Wingdings" w:hAnsi="Wingdings" w:cs="Wingdings"/>
    </w:rPr>
  </w:style>
  <w:style w:type="character" w:styleId="WW8Num16z1">
    <w:name w:val="WW8Num16z1"/>
    <w:qFormat/>
    <w:rPr>
      <w:rFonts w:ascii="Courier New" w:hAnsi="Courier New" w:cs="Courier New"/>
    </w:rPr>
  </w:style>
  <w:style w:type="character" w:styleId="WW8Num16z3">
    <w:name w:val="WW8Num16z3"/>
    <w:qFormat/>
    <w:rPr>
      <w:rFonts w:ascii="Symbol" w:hAnsi="Symbol" w:cs="Symbol"/>
    </w:rPr>
  </w:style>
  <w:style w:type="character" w:styleId="WW8Num17z0">
    <w:name w:val="WW8Num17z0"/>
    <w:qFormat/>
    <w:rPr>
      <w:rFonts w:ascii="Times New Roman" w:hAnsi="Times New Roman" w:eastAsia="Arial" w:cs="Times New Roman"/>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ascii="Times New Roman" w:hAnsi="Times New Roman" w:eastAsia="Malgun Gothic" w:cs="Times New Roman"/>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Wingdings" w:hAnsi="Wingdings" w:cs="Wingdings"/>
    </w:rPr>
  </w:style>
  <w:style w:type="character" w:styleId="WW8Num21z1">
    <w:name w:val="WW8Num21z1"/>
    <w:qFormat/>
    <w:rPr>
      <w:rFonts w:ascii="Courier New" w:hAnsi="Courier New" w:cs="Courier New"/>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Times New Roman" w:hAnsi="Times New Roman" w:eastAsia="Times New Roman" w:cs="Times New Roman"/>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rFonts w:ascii="Courier New" w:hAnsi="Courier New" w:cs="Courier New"/>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rPr>
  </w:style>
  <w:style w:type="character" w:styleId="fontstyle01">
    <w:name w:val="fontstyle01"/>
    <w:qFormat/>
    <w:rPr>
      <w:rFonts w:ascii="Times New Roman" w:hAnsi="Times New Roman" w:cs="Times New Roman"/>
      <w:b w:val="false"/>
      <w:bCs w:val="false"/>
      <w:i w:val="false"/>
      <w:iCs w:val="false"/>
      <w:color w:val="000000"/>
      <w:sz w:val="18"/>
      <w:szCs w:val="18"/>
    </w:rPr>
  </w:style>
  <w:style w:type="character" w:styleId="fontstyle21">
    <w:name w:val="fontstyle21"/>
    <w:qFormat/>
    <w:rPr>
      <w:rFonts w:ascii="Times New Roman" w:hAnsi="Times New Roman" w:cs="Times New Roman"/>
      <w:b w:val="false"/>
      <w:bCs w:val="false"/>
      <w:i/>
      <w:iCs/>
      <w:color w:val="000000"/>
      <w:sz w:val="18"/>
      <w:szCs w:val="18"/>
    </w:rPr>
  </w:style>
  <w:style w:type="character" w:styleId="mediumtext">
    <w:name w:val="medium_text"/>
    <w:qFormat/>
    <w:rPr/>
  </w:style>
  <w:style w:type="character" w:styleId="ListParagraphChar">
    <w:name w:val="List Paragraph Char"/>
    <w:qFormat/>
    <w:rPr>
      <w:rFonts w:ascii="Calibri" w:hAnsi="Calibri" w:cs="Calibri"/>
      <w:sz w:val="22"/>
      <w:szCs w:val="22"/>
    </w:rPr>
  </w:style>
  <w:style w:type="character" w:styleId="HeaderChar">
    <w:name w:val="Header Char"/>
    <w:qFormat/>
    <w:rPr>
      <w:sz w:val="28"/>
      <w:szCs w:val="28"/>
    </w:rPr>
  </w:style>
  <w:style w:type="character" w:styleId="FooterChar">
    <w:name w:val="Footer Char"/>
    <w:qFormat/>
    <w:rPr>
      <w:sz w:val="28"/>
      <w:szCs w:val="2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Segoe UI" w:hAnsi="Segoe UI" w:cs="Segoe UI"/>
      <w:sz w:val="18"/>
      <w:szCs w:val="18"/>
    </w:rPr>
  </w:style>
  <w:style w:type="paragraph" w:styleId="ListParagraph">
    <w:name w:val="List Paragraph"/>
    <w:basedOn w:val="Normal"/>
    <w:qFormat/>
    <w:pPr>
      <w:spacing w:lineRule="auto" w:line="276" w:before="0" w:after="200"/>
      <w:ind w:hanging="0" w:start="720" w:end="0"/>
      <w:contextualSpacing/>
    </w:pPr>
    <w:rPr>
      <w:rFonts w:ascii="Calibri" w:hAnsi="Calibri" w:cs="Calibri"/>
      <w:sz w:val="22"/>
      <w:szCs w:val="22"/>
    </w:rPr>
  </w:style>
  <w:style w:type="paragraph" w:styleId="Default">
    <w:name w:val="Default"/>
    <w:qFormat/>
    <w:pPr>
      <w:widowControl/>
      <w:autoSpaceDE w:val="false"/>
      <w:bidi w:val="0"/>
    </w:pPr>
    <w:rPr>
      <w:rFonts w:ascii="Times New Roman" w:hAnsi="Times New Roman" w:eastAsia="Calibri" w:cs="Times New Roman"/>
      <w:color w:val="000000"/>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978</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2023-09-08T08:05:00Z</dcterms:created>
  <dc:creator>WINXP_SP3</dc:creator>
  <dc:description/>
  <cp:keywords/>
  <dc:language>vi-VN</dc:language>
  <cp:lastModifiedBy>MY</cp:lastModifiedBy>
  <cp:lastPrinted>2026-03-11T11:17:00Z</cp:lastPrinted>
  <dcterms:modified xsi:type="dcterms:W3CDTF">2026-04-23T14:27:00Z</dcterms:modified>
  <cp:revision>228</cp:revision>
  <dc:subject/>
  <dc:title>SỞ Y TẾ PHÚ THỌ                       CỘNG HOÀ XÃ HỘI CHỦ NGHĨA VIỆT NAM    BỆNH VIỆN ĐA KHOA TỈNH                              Độc lập - Tự do - Hạnh phúc</dc:title>
</cp:coreProperties>
</file>