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22"/>
          <w:szCs w:val="22"/>
        </w:rPr>
        <w:t xml:space="preserve">APPENDIX A</w:t>
      </w:r>
    </w:p>
    <w:p>
      <w:pPr>
        <w:spacing w:after="60"/>
        <w:jc w:val="center"/>
      </w:pPr>
      <w:r>
        <w:rPr>
          <w:rFonts w:ascii="Times New Roman" w:cs="Times New Roman" w:eastAsia="Times New Roman" w:hAnsi="Times New Roman"/>
          <w:b/>
          <w:bCs/>
          <w:color w:val="1F3864"/>
          <w:sz w:val="26"/>
          <w:szCs w:val="26"/>
        </w:rPr>
        <w:t xml:space="preserve">Bill of Quantities — Conventional Cast-in-Situ Construction</w:t>
      </w:r>
    </w:p>
    <w:p>
      <w:pPr>
        <w:spacing w:after="60"/>
        <w:jc w:val="center"/>
      </w:pPr>
      <w:r>
        <w:rPr>
          <w:rFonts w:ascii="Times New Roman" w:cs="Times New Roman" w:eastAsia="Times New Roman" w:hAnsi="Times New Roman"/>
          <w:i/>
          <w:iCs/>
          <w:color w:val="2E5496"/>
          <w:sz w:val="22"/>
          <w:szCs w:val="22"/>
        </w:rPr>
        <w:t xml:space="preserve">10-Storey Residential Building, Dhaka, Bangladesh</w:t>
      </w:r>
    </w:p>
    <w:p>
      <w:pPr>
        <w:pBdr>
          <w:bottom w:val="single" w:color="1F3864" w:sz="6" w:space="1"/>
        </w:pBdr>
        <w:spacing w:after="40"/>
        <w:jc w:val="center"/>
      </w:pPr>
      <w:r>
        <w:rPr>
          <w:rFonts w:ascii="Times New Roman" w:cs="Times New Roman" w:eastAsia="Times New Roman" w:hAnsi="Times New Roman"/>
          <w:i/>
          <w:iCs/>
          <w:color w:val="666666"/>
          <w:sz w:val="18"/>
          <w:szCs w:val="18"/>
        </w:rPr>
        <w:t xml:space="preserve">Source: Unpublished Material Payment Register, Building Owner [Anonymised], Dhaka (Personal Communication, 2024–2026)</w:t>
      </w:r>
    </w:p>
    <w:p>
      <w:pPr>
        <w:spacing w:after="160"/>
      </w:pPr>
      <w:r>
        <w:t xml:space="preserve"/>
      </w:r>
    </w:p>
    <w:p>
      <w:pPr>
        <w:spacing w:after="60" w:line="320"/>
        <w:jc w:val="both"/>
      </w:pPr>
      <w:r>
        <w:rPr>
          <w:rFonts w:ascii="Times New Roman" w:cs="Times New Roman" w:eastAsia="Times New Roman" w:hAnsi="Times New Roman"/>
          <w:b/>
          <w:bCs/>
          <w:sz w:val="18"/>
          <w:szCs w:val="18"/>
        </w:rPr>
        <w:t xml:space="preserve">Scope Note: </w:t>
      </w:r>
      <w:r>
        <w:rPr>
          <w:rFonts w:ascii="Times New Roman" w:cs="Times New Roman" w:eastAsia="Times New Roman" w:hAnsi="Times New Roman"/>
          <w:color w:val="333333"/>
          <w:sz w:val="18"/>
          <w:szCs w:val="18"/>
        </w:rPr>
        <w:t xml:space="preserve">This register documents actual material payments for a 10-storey residential building under conventional cast-in-situ construction in Dhaka, Bangladesh (December 2024 – May 2026). Data is extracted from a handwritten material payment register provided by the building owner via personal communication and anonymised at the owner's request. Sections A (Structural Core &amp; Shell) and B (Formwork &amp; Shuttering) constitute the primary baseline for comparison with projected precast RCC costs in Section 4.6. Section C (Finishing &amp; MEP) is provided for reference only and is excluded from the core shell cost comparison. All amounts are in Bangladeshi Taka (BDT). Figures marked (~) are cumulative totals derived from multiple dated payment entries; individual entries are readable in the source register. Tilde (~) denotes an estimated running total where not all pages were available.</w:t>
      </w:r>
    </w:p>
    <w:p>
      <w:pPr>
        <w:spacing w:after="160"/>
      </w:pPr>
      <w: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000"/>
        <w:gridCol w:w="800"/>
        <w:gridCol w:w="1800"/>
        <w:gridCol w:w="2060"/>
      </w:tblGrid>
      <w:tr>
        <w:trPr>
          <w:tblHeader/>
        </w:trPr>
        <w:tc>
          <w:tcPr>
            <w:tcW w:type="dxa" w:w="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SL</w:t>
            </w:r>
          </w:p>
        </w:tc>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Material / Item</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Representative Works / Purpose</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Unit</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Total Amount (BDT)</w:t>
            </w:r>
          </w:p>
        </w:tc>
        <w:tc>
          <w:tcPr>
            <w:tcW w:type="dxa" w:w="20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8"/>
                <w:szCs w:val="18"/>
              </w:rPr>
              <w:t xml:space="preserve">Notes &amp; Unit Rates</w:t>
            </w:r>
          </w:p>
        </w:tc>
      </w:tr>
      <w:tr>
        <w:tc>
          <w:tcPr>
            <w:tcW w:type="dxa" w:w="10760"/>
            <w:gridSpan w:val="6"/>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9"/>
                <w:szCs w:val="19"/>
              </w:rPr>
              <w:t xml:space="preserve">STRUCTURAL CORE &amp; SHELL MATERIALS (Directly Comparable for Precast BOQ)</w:t>
            </w:r>
          </w:p>
        </w:tc>
      </w:tr>
      <w:tr>
        <w:tc>
          <w:tcPr>
            <w:tcW w:type="dxa" w:w="5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1</w:t>
            </w:r>
          </w:p>
        </w:tc>
        <w:tc>
          <w:tcPr>
            <w:tcW w:type="dxa" w:w="26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Cement</w:t>
            </w:r>
          </w:p>
        </w:tc>
        <w:tc>
          <w:tcPr>
            <w:tcW w:type="dxa" w:w="30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C.C casting (basement, columns, beams, slabs, walls G/F–4th floor); R.W brick wall; Supercolumn plus; Plaster; Stair casting; Fair face; R.W pointing</w:t>
            </w:r>
          </w:p>
        </w:tc>
        <w:tc>
          <w:tcPr>
            <w:tcW w:type="dxa" w:w="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Bags</w:t>
            </w:r>
          </w:p>
        </w:tc>
        <w:tc>
          <w:tcPr>
            <w:tcW w:type="dxa" w:w="1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~5,40,000+</w:t>
            </w:r>
          </w:p>
        </w:tc>
        <w:tc>
          <w:tcPr>
            <w:tcW w:type="dxa" w:w="206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Multiple suppliers; Superceme Plus used for column casting; Local cement for finishing. Recorded from Dec 2024 – Feb 2026.</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M.S. Rod (B.S.R.M)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Basement (18,000 kg); R.W &amp; mat foundations (22,000 kg); Column capping (5,000 kg); Retaining wall; G/F–5th floor slabs and beams; Roof slabs; 2nd–4th floor columns; Beams (6,500–8,000 kg per floor); Local rod: 3,661 kg</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kg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41,65,950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B.S.R.M 10mm &amp; various diameters. Local rod supplementary. Recorded Dec 2024 – May 2026.</w:t>
            </w:r>
          </w:p>
        </w:tc>
      </w:tr>
      <w:tr>
        <w:tc>
          <w:tcPr>
            <w:tcW w:type="dxa" w:w="5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3</w:t>
            </w:r>
          </w:p>
        </w:tc>
        <w:tc>
          <w:tcPr>
            <w:tcW w:type="dxa" w:w="26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Stone Chips</w:t>
            </w:r>
          </w:p>
        </w:tc>
        <w:tc>
          <w:tcPr>
            <w:tcW w:type="dxa" w:w="30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C.C casting (basement &amp; floors); R.W casting; Column casting; Beam casting; 1st–4th floor slabs; Fair face; Foundation columns 2nd lift; Mason stone (various sizes 417×230 to 430×230)</w:t>
            </w:r>
          </w:p>
        </w:tc>
        <w:tc>
          <w:tcPr>
            <w:tcW w:type="dxa" w:w="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Cft / pcs</w:t>
            </w:r>
          </w:p>
        </w:tc>
        <w:tc>
          <w:tcPr>
            <w:tcW w:type="dxa" w:w="1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~3,00,000+</w:t>
            </w:r>
          </w:p>
        </w:tc>
        <w:tc>
          <w:tcPr>
            <w:tcW w:type="dxa" w:w="206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Various grades: 300 cft @ ৳30,000; Mason stone 410×230–430×230 @ ~৳57,000–98,900 per lot. Molla stone also recorded.</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Sylhet Sand</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R.W casting; Column casting; 1st Floor column (200 cft×142); 2nd Floor column (550 cft×140); 3rd Floor column (450 cft×140); 4th Floor column (610 cft×145)</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Cft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~3,88,450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Sand measured in cft × BDT per cft. 1st Floor column: ৳57,000; 2nd Floor: ৳77,000; 3rd Floor: ৳63,000; 4th Floor: ৳88,450.</w:t>
            </w:r>
          </w:p>
        </w:tc>
      </w:tr>
      <w:tr>
        <w:tc>
          <w:tcPr>
            <w:tcW w:type="dxa" w:w="5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5</w:t>
            </w:r>
          </w:p>
        </w:tc>
        <w:tc>
          <w:tcPr>
            <w:tcW w:type="dxa" w:w="26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Local Sand (Viti Sand)</w:t>
            </w:r>
          </w:p>
        </w:tc>
        <w:tc>
          <w:tcPr>
            <w:tcW w:type="dxa" w:w="30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Backfilling (foundation &amp; slab outside); R.W filling; R.W outside; Buck falling; 1st–3rd floor walls; Plaster basement; Basement plaster; 1st–3rd floor plasterwork; 2nd–3rd floor walls</w:t>
            </w:r>
          </w:p>
        </w:tc>
        <w:tc>
          <w:tcPr>
            <w:tcW w:type="dxa" w:w="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Cft</w:t>
            </w:r>
          </w:p>
        </w:tc>
        <w:tc>
          <w:tcPr>
            <w:tcW w:type="dxa" w:w="1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~1,34,000</w:t>
            </w:r>
          </w:p>
        </w:tc>
        <w:tc>
          <w:tcPr>
            <w:tcW w:type="dxa" w:w="206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Backfilling: 200 cft @ ৳3,000 per lot. R.W filling: 800 cft @ ৳12,000. Wall filling: 400–600 cft @ ৳6,000–9,000. Plaster: 460–960 cft recorded.</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1st Class Bricks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Footing wall (3,000 pcs×multiple lots); R. wall (3,000 pcs per lift, G/F to 4th floor); Slab outside; G/F room; Co. plm (column), 1st–4th floor bonds; End bore (3,000 pcs); 1,300 pcs recorded separately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Pcs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~10,00,000+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Consistent rate of ৳35,500–৳40,500 per 3,000 pcs. Footing wall subtotal: ৳3,62,300. Multiple lots per floor G/F to 4th floor.</w:t>
            </w:r>
          </w:p>
        </w:tc>
      </w:tr>
      <w:tr>
        <w:tc>
          <w:tcPr>
            <w:tcW w:type="dxa" w:w="5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7</w:t>
            </w:r>
          </w:p>
        </w:tc>
        <w:tc>
          <w:tcPr>
            <w:tcW w:type="dxa" w:w="26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Ready Mix Concrete</w:t>
            </w:r>
          </w:p>
        </w:tc>
        <w:tc>
          <w:tcPr>
            <w:tcW w:type="dxa" w:w="30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Lift slab casting (600 cft); Mat &amp; footing casting (662 cft); R.W casting R.F.L (830 cft + 1,725 cft); G/F slab (3,750 cft @ ৳350); 1st pulon slab (1,500 cft @ ৳350); 2nd–4th floor slabs; Ram stain (388 cft); Column casting (800 cft)</w:t>
            </w:r>
          </w:p>
        </w:tc>
        <w:tc>
          <w:tcPr>
            <w:tcW w:type="dxa" w:w="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Cft</w:t>
            </w:r>
          </w:p>
        </w:tc>
        <w:tc>
          <w:tcPr>
            <w:tcW w:type="dxa" w:w="1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~80,00,000+</w:t>
            </w:r>
          </w:p>
        </w:tc>
        <w:tc>
          <w:tcPr>
            <w:tcW w:type="dxa" w:w="206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Rate: ৳350–৳360/cft for structural casting. G/F slab: ৳13,12,500; 1st floor: ৳18,12,500; 2nd floor: ৳8,51,400; 3rd floor: ৳8,57,400; 4th floor: ৳5,26,800. Gipum slab casting also recorded.</w:t>
            </w:r>
          </w:p>
        </w:tc>
      </w:tr>
      <w:tr>
        <w:tc>
          <w:tcPr>
            <w:tcW w:type="dxa" w:w="6900"/>
            <w:gridSpan w:val="4"/>
            <w:tcBorders>
              <w:top w:val="single" w:color="AAAAAA" w:sz="1"/>
              <w:left w:val="single" w:color="AAAAAA" w:sz="1"/>
              <w:bottom w:val="single" w:color="AAAAAA" w:sz="1"/>
              <w:right w:val="single" w:color="AAAAAA" w:sz="1"/>
            </w:tcBorders>
            <w:shd w:fill="BDD7EE" w:val="clear"/>
            <w:tcMar>
              <w:top w:type="dxa" w:w="70"/>
              <w:left w:type="dxa" w:w="120"/>
              <w:bottom w:type="dxa" w:w="70"/>
              <w:right w:type="dxa" w:w="120"/>
            </w:tcMar>
          </w:tcPr>
          <w:p>
            <w:pPr>
              <w:jc w:val="right"/>
            </w:pPr>
            <w:r>
              <w:rPr>
                <w:rFonts w:ascii="Times New Roman" w:cs="Times New Roman" w:eastAsia="Times New Roman" w:hAnsi="Times New Roman"/>
                <w:b/>
                <w:bCs/>
                <w:color w:val="1F3864"/>
                <w:sz w:val="18"/>
                <w:szCs w:val="18"/>
              </w:rPr>
              <w:t xml:space="preserve">SUBTOTAL — Structural Core &amp; Shell Materials (A)</w:t>
            </w:r>
          </w:p>
        </w:tc>
        <w:tc>
          <w:tcPr>
            <w:tcW w:type="dxa" w:w="3860"/>
            <w:gridSpan w:val="2"/>
            <w:tcBorders>
              <w:top w:val="single" w:color="AAAAAA" w:sz="1"/>
              <w:left w:val="single" w:color="AAAAAA" w:sz="1"/>
              <w:bottom w:val="single" w:color="AAAAAA" w:sz="1"/>
              <w:right w:val="single" w:color="AAAAAA" w:sz="1"/>
            </w:tcBorders>
            <w:shd w:fill="BDD7EE" w:val="clear"/>
            <w:tcMar>
              <w:top w:type="dxa" w:w="70"/>
              <w:left w:type="dxa" w:w="120"/>
              <w:bottom w:type="dxa" w:w="70"/>
              <w:right w:type="dxa" w:w="120"/>
            </w:tcMar>
          </w:tcPr>
          <w:p>
            <w:pPr>
              <w:jc w:val="right"/>
            </w:pPr>
            <w:r>
              <w:rPr>
                <w:rFonts w:ascii="Times New Roman" w:cs="Times New Roman" w:eastAsia="Times New Roman" w:hAnsi="Times New Roman"/>
                <w:b/>
                <w:bCs/>
                <w:color w:val="1F3864"/>
                <w:sz w:val="18"/>
                <w:szCs w:val="18"/>
              </w:rPr>
              <w:t xml:space="preserve">~1,00,00,000+</w:t>
            </w:r>
          </w:p>
        </w:tc>
      </w:tr>
      <w:tr>
        <w:tc>
          <w:tcPr>
            <w:tcW w:type="dxa" w:w="10760"/>
            <w:gridSpan w:val="6"/>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9"/>
                <w:szCs w:val="19"/>
              </w:rPr>
              <w:t xml:space="preserve">FORMWORK, SCAFFOLDING &amp; STEEL SHUTTERING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8</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Steel Materials (Shuttering &amp; Scaffolding)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Shutters (beam, column, R.W, stair, fair face); Steel props; U-frame; Steel profiles; Steel halobox; Sunching clamp (230×100); G.P sheet (30 pcs); Wood shutter strip; Steel pipe (100 pcs, 82×2000 / 86.9×2000); Fairface shutter; Rolling shutter final bill</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Lot / pcs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~1,25,00,000+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Hanan Company supplier. Shutters: ৳6,00,000 (main); Beam shutters ৳3,50,000–৳3,60,000 each lot; Steel pipe 100 pcs @ ৳1,64,020–৳1,73,800. Multiple advances recorded. Steel shuttering = major cost centre for conventional construction.</w:t>
            </w:r>
          </w:p>
        </w:tc>
      </w:tr>
      <w:tr>
        <w:tc>
          <w:tcPr>
            <w:tcW w:type="dxa" w:w="5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9</w:t>
            </w:r>
          </w:p>
        </w:tc>
        <w:tc>
          <w:tcPr>
            <w:tcW w:type="dxa" w:w="26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New Mango Wood (Formwork)</w:t>
            </w:r>
          </w:p>
        </w:tc>
        <w:tc>
          <w:tcPr>
            <w:tcW w:type="dxa" w:w="30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Mango wood planks + barha (170+70 cft = 240 cft); Mango wood 14 cft; 25.58 cft; Bamboo (50 pcs × 130); New mango wood+barha (80×530 cft; 31.3×530 cft; 28.42×530 cft)</w:t>
            </w:r>
          </w:p>
        </w:tc>
        <w:tc>
          <w:tcPr>
            <w:tcW w:type="dxa" w:w="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Cft / pcs</w:t>
            </w:r>
          </w:p>
        </w:tc>
        <w:tc>
          <w:tcPr>
            <w:tcW w:type="dxa" w:w="1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~1,30,100</w:t>
            </w:r>
          </w:p>
        </w:tc>
        <w:tc>
          <w:tcPr>
            <w:tcW w:type="dxa" w:w="206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Mango wood rate: ~৳500/cft (5,000 for 14 cft; ৳13,500 for 25.58 cft). Bamboo 50 pcs×130 @ ৳7,100. Total includes all formwork timber.</w:t>
            </w:r>
          </w:p>
        </w:tc>
      </w:tr>
      <w:tr>
        <w:tc>
          <w:tcPr>
            <w:tcW w:type="dxa" w:w="6900"/>
            <w:gridSpan w:val="4"/>
            <w:tcBorders>
              <w:top w:val="single" w:color="AAAAAA" w:sz="1"/>
              <w:left w:val="single" w:color="AAAAAA" w:sz="1"/>
              <w:bottom w:val="single" w:color="AAAAAA" w:sz="1"/>
              <w:right w:val="single" w:color="AAAAAA" w:sz="1"/>
            </w:tcBorders>
            <w:shd w:fill="BDD7EE" w:val="clear"/>
            <w:tcMar>
              <w:top w:type="dxa" w:w="70"/>
              <w:left w:type="dxa" w:w="120"/>
              <w:bottom w:type="dxa" w:w="70"/>
              <w:right w:type="dxa" w:w="120"/>
            </w:tcMar>
          </w:tcPr>
          <w:p>
            <w:pPr>
              <w:jc w:val="right"/>
            </w:pPr>
            <w:r>
              <w:rPr>
                <w:rFonts w:ascii="Times New Roman" w:cs="Times New Roman" w:eastAsia="Times New Roman" w:hAnsi="Times New Roman"/>
                <w:b/>
                <w:bCs/>
                <w:color w:val="1F3864"/>
                <w:sz w:val="18"/>
                <w:szCs w:val="18"/>
              </w:rPr>
              <w:t xml:space="preserve">SUBTOTAL — Formwork, Scaffolding &amp; Steel Shuttering (B)</w:t>
            </w:r>
          </w:p>
        </w:tc>
        <w:tc>
          <w:tcPr>
            <w:tcW w:type="dxa" w:w="3860"/>
            <w:gridSpan w:val="2"/>
            <w:tcBorders>
              <w:top w:val="single" w:color="AAAAAA" w:sz="1"/>
              <w:left w:val="single" w:color="AAAAAA" w:sz="1"/>
              <w:bottom w:val="single" w:color="AAAAAA" w:sz="1"/>
              <w:right w:val="single" w:color="AAAAAA" w:sz="1"/>
            </w:tcBorders>
            <w:shd w:fill="BDD7EE" w:val="clear"/>
            <w:tcMar>
              <w:top w:type="dxa" w:w="70"/>
              <w:left w:type="dxa" w:w="120"/>
              <w:bottom w:type="dxa" w:w="70"/>
              <w:right w:type="dxa" w:w="120"/>
            </w:tcMar>
          </w:tcPr>
          <w:p>
            <w:pPr>
              <w:jc w:val="right"/>
            </w:pPr>
            <w:r>
              <w:rPr>
                <w:rFonts w:ascii="Times New Roman" w:cs="Times New Roman" w:eastAsia="Times New Roman" w:hAnsi="Times New Roman"/>
                <w:b/>
                <w:bCs/>
                <w:color w:val="1F3864"/>
                <w:sz w:val="18"/>
                <w:szCs w:val="18"/>
              </w:rPr>
              <w:t xml:space="preserve">~1,26,30,100+</w:t>
            </w:r>
          </w:p>
        </w:tc>
      </w:tr>
      <w:tr>
        <w:tc>
          <w:tcPr>
            <w:tcW w:type="dxa" w:w="10760"/>
            <w:gridSpan w:val="6"/>
            <w:tcBorders>
              <w:top w:val="single" w:color="AAAAAA" w:sz="1"/>
              <w:left w:val="single" w:color="AAAAAA" w:sz="1"/>
              <w:bottom w:val="single" w:color="AAAAAA" w:sz="1"/>
              <w:right w:val="single" w:color="AAAAAA" w:sz="1"/>
            </w:tcBorders>
            <w:shd w:fill="2E5496"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9"/>
                <w:szCs w:val="19"/>
              </w:rPr>
              <w:t xml:space="preserve">FINISHING &amp; MEP MATERIALS (Excluded from Core Shell Precast Comparison)</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10</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Electrical Materials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1st floor slab materials (4,403 challnno); Service line &amp; other (777); Motor SP; Office room; 4 légm; 2nd floor slab electrical (6,456); Paint materials (1,957); 3rd floor slab (6,557); Line service (6,558); 4th floor slab materials (7,842); Wall cutting</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Challanno / lot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~2,26,408</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Rate varies by floor. 1st floor slab: ৳27,482; 2nd floor slab: ৳29,992; 3rd floor: ৳22,250; 4th floor: ৳29,772. Includes service line, switches, conduit.</w:t>
            </w:r>
          </w:p>
        </w:tc>
      </w:tr>
      <w:tr>
        <w:tc>
          <w:tcPr>
            <w:tcW w:type="dxa" w:w="5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11</w:t>
            </w:r>
          </w:p>
        </w:tc>
        <w:tc>
          <w:tcPr>
            <w:tcW w:type="dxa" w:w="26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Plumbing / Sanitary Materials</w:t>
            </w:r>
          </w:p>
        </w:tc>
        <w:tc>
          <w:tcPr>
            <w:tcW w:type="dxa" w:w="30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Duz pipe fittings (8,690); Fichan pipe fittings (8,692); 4″ fittings materials (8,697); 3/4″ water line G.F loop (8,703); 6″ pipe &amp; main line chalié (8,741)</w:t>
            </w:r>
          </w:p>
        </w:tc>
        <w:tc>
          <w:tcPr>
            <w:tcW w:type="dxa" w:w="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Challnno / lot</w:t>
            </w:r>
          </w:p>
        </w:tc>
        <w:tc>
          <w:tcPr>
            <w:tcW w:type="dxa" w:w="1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~27,850</w:t>
            </w:r>
          </w:p>
        </w:tc>
        <w:tc>
          <w:tcPr>
            <w:tcW w:type="dxa" w:w="206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Limited pages provided. G/F plumbing only visible in upload. Total from visible pages: ৳27,850.</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12</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Viti Sand (Backfill/Plaster)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Backfilling; R.W outside; R.W filling; Buck falling; 1st–3rd floor walls; Plaster basement; 2nd floor column; 2nd–3rd floor walls; Plastering; 400 cft @ ৳6,000</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Cft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~1,34,000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Refer Section A5 — also used in structural work. Separated here for MEP/finishing allocation reference.</w:t>
            </w:r>
          </w:p>
        </w:tc>
      </w:tr>
      <w:tr>
        <w:tc>
          <w:tcPr>
            <w:tcW w:type="dxa" w:w="5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13</w:t>
            </w:r>
          </w:p>
        </w:tc>
        <w:tc>
          <w:tcPr>
            <w:tcW w:type="dxa" w:w="26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Paint Materials</w:t>
            </w:r>
          </w:p>
        </w:tc>
        <w:tc>
          <w:tcPr>
            <w:tcW w:type="dxa" w:w="30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Enamel paint &amp; hardware (5,847 challnno); 4 n (6,046); 4 n (6,085); Painy meterials (4,395); Enamel paint 5 gallon (4,407); Tho Thalon 5 gallon (8,516); Enamel paint 5 gallon (5,318); 3 n (6,383); 76 Pinam (5,266); Enamel paint (9,477); 28 x 4 n (1,099); 3 litter (2,178)</w:t>
            </w:r>
          </w:p>
        </w:tc>
        <w:tc>
          <w:tcPr>
            <w:tcW w:type="dxa" w:w="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Challnno / gallon</w:t>
            </w:r>
          </w:p>
        </w:tc>
        <w:tc>
          <w:tcPr>
            <w:tcW w:type="dxa" w:w="180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~76,640</w:t>
            </w:r>
          </w:p>
        </w:tc>
        <w:tc>
          <w:tcPr>
            <w:tcW w:type="dxa" w:w="2060"/>
            <w:tcBorders>
              <w:top w:val="single" w:color="AAAAAA" w:sz="1"/>
              <w:left w:val="single" w:color="AAAAAA" w:sz="1"/>
              <w:bottom w:val="single" w:color="AAAAAA" w:sz="1"/>
              <w:right w:val="single" w:color="AAAAAA" w:sz="1"/>
            </w:tcBorders>
            <w:shd w:fill="EBF5FB"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Enamel paint dominant. Total: BDT 61,640 (1st batch) + BDT 15,000 (2nd batch incl. light once coat BDT 470). Enamel paint @ ~BDT 8,250-10,720 per 5 gallons.</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bCs/>
                <w:color w:val="2E5496"/>
                <w:sz w:val="18"/>
                <w:szCs w:val="18"/>
              </w:rPr>
              <w:t xml:space="preserve">14</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bCs/>
                <w:color w:val="000000"/>
                <w:sz w:val="18"/>
                <w:szCs w:val="18"/>
              </w:rPr>
              <w:t xml:space="preserve">Hardware Materials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000000"/>
                <w:sz w:val="18"/>
                <w:szCs w:val="18"/>
              </w:rPr>
              <w:t xml:space="preserve">Fairface hardware materials (2,620); Safety net (2,629); Nut &amp; bolt fairface (2,831); 6mm PVC pipe brod (9,107); 2″×3″ (Arzon) wood (1,574); 1″ Pis n; Hardware materials (2,747); Fairface &amp; swara clam (7,048); 30″ &amp; 22″ main halocover (8,382); 1″ cunning pipe; Hardware materials (can) (20,578); Plumbing materials (8,482); 2 Ger Namim Tis (5,862); Pieon holder &amp; oil (296); Fairface materials (20,583); Net outside (2,929)</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center"/>
            </w:pPr>
            <w:r>
              <w:rPr>
                <w:rFonts w:ascii="Times New Roman" w:cs="Times New Roman" w:eastAsia="Times New Roman" w:hAnsi="Times New Roman"/>
                <w:b w:val="false"/>
                <w:bCs w:val="false"/>
                <w:color w:val="000000"/>
                <w:sz w:val="18"/>
                <w:szCs w:val="18"/>
              </w:rPr>
              <w:t xml:space="preserve">Challnno / lot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right"/>
            </w:pPr>
            <w:r>
              <w:rPr>
                <w:rFonts w:ascii="Times New Roman" w:cs="Times New Roman" w:eastAsia="Times New Roman" w:hAnsi="Times New Roman"/>
                <w:b/>
                <w:bCs/>
                <w:color w:val="1F3864"/>
                <w:sz w:val="18"/>
                <w:szCs w:val="18"/>
              </w:rPr>
              <w:t xml:space="preserve">~3,27,140</w:t>
            </w:r>
          </w:p>
        </w:tc>
        <w:tc>
          <w:tcPr>
            <w:tcW w:type="dxa" w:w="20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pPr>
              <w:jc w:val="left"/>
            </w:pPr>
            <w:r>
              <w:rPr>
                <w:rFonts w:ascii="Times New Roman" w:cs="Times New Roman" w:eastAsia="Times New Roman" w:hAnsi="Times New Roman"/>
                <w:b w:val="false"/>
                <w:bCs w:val="false"/>
                <w:color w:val="444444"/>
                <w:sz w:val="18"/>
                <w:szCs w:val="18"/>
              </w:rPr>
              <w:t xml:space="preserve">Hanan Company supplier for major items. Subtotal 1: ৳2,18,370; Subtotal 2: ৳1,01,870 + misc. Includes safety net, scaffolding net, pipe fittings, holding materials.</w:t>
            </w:r>
          </w:p>
        </w:tc>
      </w:tr>
      <w:tr>
        <w:tc>
          <w:tcPr>
            <w:tcW w:type="dxa" w:w="6900"/>
            <w:gridSpan w:val="4"/>
            <w:tcBorders>
              <w:top w:val="single" w:color="AAAAAA" w:sz="1"/>
              <w:left w:val="single" w:color="AAAAAA" w:sz="1"/>
              <w:bottom w:val="single" w:color="AAAAAA" w:sz="1"/>
              <w:right w:val="single" w:color="AAAAAA" w:sz="1"/>
            </w:tcBorders>
            <w:shd w:fill="BDD7EE" w:val="clear"/>
            <w:tcMar>
              <w:top w:type="dxa" w:w="70"/>
              <w:left w:type="dxa" w:w="120"/>
              <w:bottom w:type="dxa" w:w="70"/>
              <w:right w:type="dxa" w:w="120"/>
            </w:tcMar>
          </w:tcPr>
          <w:p>
            <w:pPr>
              <w:jc w:val="right"/>
            </w:pPr>
            <w:r>
              <w:rPr>
                <w:rFonts w:ascii="Times New Roman" w:cs="Times New Roman" w:eastAsia="Times New Roman" w:hAnsi="Times New Roman"/>
                <w:b/>
                <w:bCs/>
                <w:color w:val="1F3864"/>
                <w:sz w:val="18"/>
                <w:szCs w:val="18"/>
              </w:rPr>
              <w:t xml:space="preserve">SUBTOTAL — Finishing &amp; MEP Materials (C)</w:t>
            </w:r>
          </w:p>
        </w:tc>
        <w:tc>
          <w:tcPr>
            <w:tcW w:type="dxa" w:w="3860"/>
            <w:gridSpan w:val="2"/>
            <w:tcBorders>
              <w:top w:val="single" w:color="AAAAAA" w:sz="1"/>
              <w:left w:val="single" w:color="AAAAAA" w:sz="1"/>
              <w:bottom w:val="single" w:color="AAAAAA" w:sz="1"/>
              <w:right w:val="single" w:color="AAAAAA" w:sz="1"/>
            </w:tcBorders>
            <w:shd w:fill="BDD7EE" w:val="clear"/>
            <w:tcMar>
              <w:top w:type="dxa" w:w="70"/>
              <w:left w:type="dxa" w:w="120"/>
              <w:bottom w:type="dxa" w:w="70"/>
              <w:right w:type="dxa" w:w="120"/>
            </w:tcMar>
          </w:tcPr>
          <w:p>
            <w:pPr>
              <w:jc w:val="right"/>
            </w:pPr>
            <w:r>
              <w:rPr>
                <w:rFonts w:ascii="Times New Roman" w:cs="Times New Roman" w:eastAsia="Times New Roman" w:hAnsi="Times New Roman"/>
                <w:b/>
                <w:bCs/>
                <w:color w:val="1F3864"/>
                <w:sz w:val="18"/>
                <w:szCs w:val="18"/>
              </w:rPr>
              <w:t xml:space="preserve">~6,66,038+</w:t>
            </w:r>
          </w:p>
        </w:tc>
      </w:tr>
      <w:tr>
        <w:tc>
          <w:tcPr>
            <w:tcW w:type="dxa" w:w="10760"/>
            <w:gridSpan w:val="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9"/>
                <w:szCs w:val="19"/>
              </w:rPr>
              <w:t xml:space="preserve">GRAND TOTAL (All Recorded Material Payments)</w:t>
            </w:r>
          </w:p>
        </w:tc>
      </w:tr>
    </w:tbl>
    <w:p>
      <w:pPr>
        <w:spacing w:after="120"/>
      </w:pPr>
      <w:r>
        <w:t xml:space="preserve"/>
      </w:r>
    </w:p>
    <w:p>
      <w:pPr>
        <w:spacing w:after="60"/>
        <w:jc w:val="left"/>
      </w:pPr>
      <w:r>
        <w:rPr>
          <w:rFonts w:ascii="Times New Roman" w:cs="Times New Roman" w:eastAsia="Times New Roman" w:hAnsi="Times New Roman"/>
          <w:b/>
          <w:bCs/>
          <w:color w:val="1F3864"/>
          <w:sz w:val="17"/>
          <w:szCs w:val="17"/>
        </w:rPr>
        <w:t xml:space="preserve">Notes on Data Extraction:</w:t>
      </w:r>
    </w:p>
    <w:p>
      <w:pPr>
        <w:spacing w:after="60" w:line="300"/>
        <w:jc w:val="both"/>
      </w:pPr>
      <w:r>
        <w:rPr>
          <w:rFonts w:ascii="Times New Roman" w:cs="Times New Roman" w:eastAsia="Times New Roman" w:hAnsi="Times New Roman"/>
          <w:color w:val="333333"/>
          <w:sz w:val="17"/>
          <w:szCs w:val="17"/>
        </w:rPr>
        <w:t xml:space="preserve">1.  Cement (Item 1): Individual entries record quantities in bags and amounts in BDT. Representative entry: 200 bags × C.C 8 Brick wall @ ৳1,04,000; Superceme Plus 200 bags @ ৳1,05,000 for column casting. Running total across all recorded pages exceeds ৳5,40,000.</w:t>
      </w:r>
    </w:p>
    <w:p>
      <w:pPr>
        <w:spacing w:after="60" w:line="300"/>
        <w:jc w:val="both"/>
      </w:pPr>
      <w:r>
        <w:rPr>
          <w:rFonts w:ascii="Times New Roman" w:cs="Times New Roman" w:eastAsia="Times New Roman" w:hAnsi="Times New Roman"/>
          <w:color w:val="333333"/>
          <w:sz w:val="17"/>
          <w:szCs w:val="17"/>
        </w:rPr>
        <w:t xml:space="preserve">2.  M.S. Rod (Item 2): B.S.R.M brand dominant throughout. Basement: 18,000 kg @ ৳15,22,800; R.W &amp; mat: 22,000 kg @ ৳20,94,200; Column capping: 5,000 kg @ ৳4,55,500. Documented subtotal ৳41,65,950 covers basement through 5th floor slab. Upper floor entries continue beyond provided pages.</w:t>
      </w:r>
    </w:p>
    <w:p>
      <w:pPr>
        <w:spacing w:after="60" w:line="300"/>
        <w:jc w:val="both"/>
      </w:pPr>
      <w:r>
        <w:rPr>
          <w:rFonts w:ascii="Times New Roman" w:cs="Times New Roman" w:eastAsia="Times New Roman" w:hAnsi="Times New Roman"/>
          <w:color w:val="333333"/>
          <w:sz w:val="17"/>
          <w:szCs w:val="17"/>
        </w:rPr>
        <w:t xml:space="preserve">3.  Ready Mix Concrete (Item 7): Highest single cost category. Rate ৳350–360/cft consistent across all floors. G/F slab: 3,750 cft @ ৳350 = ৳13,12,500; 1st floor slab: 1,500 cft @ ৳350 = ৳18,12,500 (bank payment); 2nd floor slab: ৳8,51,400; 3rd floor: ৳8,57,400; 4th floor: 2,580 cft @ ৳360 = ৳5,26,800. Total visible RMC expenditure exceeds ৳80,00,000.</w:t>
      </w:r>
    </w:p>
    <w:p>
      <w:pPr>
        <w:spacing w:after="60" w:line="300"/>
        <w:jc w:val="both"/>
      </w:pPr>
      <w:r>
        <w:rPr>
          <w:rFonts w:ascii="Times New Roman" w:cs="Times New Roman" w:eastAsia="Times New Roman" w:hAnsi="Times New Roman"/>
          <w:color w:val="333333"/>
          <w:sz w:val="17"/>
          <w:szCs w:val="17"/>
        </w:rPr>
        <w:t xml:space="preserve">4.  Steel Materials / Shuttering (Item 8): Supplier — Hanan Company. This is the single largest identifiable cost category, reflecting the high formwork cost of conventional construction. Beam shutters, column shutters, stair shutters, and steel props all recorded separately. This cost centre is projected to reduce by ~80% under precast construction (see Section 4.6.2, Table 7).</w:t>
      </w:r>
    </w:p>
    <w:p>
      <w:pPr>
        <w:spacing w:after="60" w:line="300"/>
        <w:jc w:val="both"/>
      </w:pPr>
      <w:r>
        <w:rPr>
          <w:rFonts w:ascii="Times New Roman" w:cs="Times New Roman" w:eastAsia="Times New Roman" w:hAnsi="Times New Roman"/>
          <w:color w:val="333333"/>
          <w:sz w:val="17"/>
          <w:szCs w:val="17"/>
        </w:rPr>
        <w:t xml:space="preserve">5.  Grand Total: The register covers primary structural and finishing material payments. Labour, equipment hire, transportation, overhead, and profit are not captured in this material payment register and must be added for a full project cost estimate. The ৳2,33,00,000+ figure represents material costs only for the recorded scope.</w:t>
      </w:r>
    </w:p>
    <w:p>
      <w:pPr>
        <w:spacing w:after="80"/>
      </w:pPr>
      <w:r>
        <w:t xml:space="preserve"/>
      </w:r>
    </w:p>
    <w:p>
      <w:pPr>
        <w:spacing w:after="40"/>
        <w:jc w:val="left"/>
      </w:pPr>
      <w:r>
        <w:rPr>
          <w:rFonts w:ascii="Times New Roman" w:cs="Times New Roman" w:eastAsia="Times New Roman" w:hAnsi="Times New Roman"/>
          <w:i/>
          <w:iCs/>
          <w:color w:val="555555"/>
          <w:sz w:val="16"/>
          <w:szCs w:val="16"/>
        </w:rPr>
        <w:t xml:space="preserve">Citation: Building Owner [Anonymised]. (2024–2026). Material Payment Register — 10-Storey Residential Building. Unpublished contractor document, Dhaka, Bangladesh. Provided to authors via personal communication. Details anonymised at source's request.</w:t>
      </w:r>
    </w:p>
    <w:sectPr>
      <w:pgSz w:w="15840" w:h="122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2026-06-10T06:48:07.984Z</dcterms:created>
  <dcterms:modified xsi:type="dcterms:W3CDTF">2026-06-10T06:48:07.999Z</dcterms:modified>
</cp:coreProperties>
</file>

<file path=docProps/custom.xml><?xml version="1.0" encoding="utf-8"?>
<Properties xmlns="http://schemas.openxmlformats.org/officeDocument/2006/custom-properties" xmlns:vt="http://schemas.openxmlformats.org/officeDocument/2006/docPropsVTypes"/>
</file>