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center"/>
        <w:rPr>
          <w:rFonts w:ascii="微软雅黑" w:hAnsi="微软雅黑" w:eastAsia="微软雅黑"/>
        </w:rPr>
      </w:pPr>
      <w:r>
        <w:rPr>
          <w:rFonts w:ascii="微软雅黑" w:hAnsi="微软雅黑" w:eastAsia="微软雅黑"/>
        </w:rPr>
        <w:t>工作安排表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1590"/>
        <w:gridCol w:w="1275"/>
        <w:gridCol w:w="1290"/>
        <w:gridCol w:w="1305"/>
        <w:gridCol w:w="1335"/>
        <w:gridCol w:w="3105"/>
      </w:tblGrid>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工作项目</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计划天数</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开始时间</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截止时间</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负责人员</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备注</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团队分工，项目规划</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11.10晚上24点前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numPr>
                <w:ilvl w:val="0"/>
                <w:numId w:val="36"/>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写完alpha冲刺各项工作成员的具体需求与任务</w:t>
            </w:r>
          </w:p>
          <w:p>
            <w:pPr>
              <w:numPr>
                <w:ilvl w:val="0"/>
                <w:numId w:val="36"/>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并拟好的大纲</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规格/原型迭代记录表</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从项目开始到结束</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按照《软件需求说明书》3.3.2迭代/更新日志的规范化</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冲刺计划文档</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11.10晚上24点前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UI原型完善与优化</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李玮杰</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优化已完成的原型，与前端组和后端组交接任务</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vlog拍摄</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11.22中午14点前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杨啟超</w:t>
            </w:r>
          </w:p>
        </w:tc>
        <w:tc>
          <w:tcPr>
            <w:tcW w:w="3105" w:type="dxa"/>
            <w:tcBorders>
              <w:top w:val="single" w:color="000000" w:sz="8" w:space="0"/>
              <w:left w:val="single" w:color="000000" w:sz="8" w:space="0"/>
              <w:bottom w:val="single" w:color="000000" w:sz="8" w:space="0"/>
              <w:right w:val="single" w:color="000000" w:sz="8" w:space="0"/>
            </w:tcBorders>
            <w:vAlign w:val="center"/>
          </w:tcPr>
          <w:p>
            <w:pPr>
              <w:numPr>
                <w:ilvl w:val="0"/>
                <w:numId w:val="35"/>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有BGM</w:t>
            </w:r>
          </w:p>
          <w:p>
            <w:pPr>
              <w:numPr>
                <w:ilvl w:val="0"/>
                <w:numId w:val="35"/>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展示冲刺计划</w:t>
            </w:r>
          </w:p>
          <w:p>
            <w:pPr>
              <w:numPr>
                <w:ilvl w:val="0"/>
                <w:numId w:val="35"/>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时长为5分钟</w:t>
            </w:r>
          </w:p>
          <w:p>
            <w:pPr>
              <w:numPr>
                <w:ilvl w:val="0"/>
                <w:numId w:val="35"/>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黑体" w:hAnsi="黑体" w:eastAsia="黑体"/>
                <w:color w:val="3d3d3d"/>
                <w:spacing w:val="0"/>
                <w:sz w:val="22"/>
                <w:szCs w:val="22"/>
                <w:shd w:val="clear" w:fill="ffffff"/>
              </w:rPr>
              <w:t>并展示开发过程与人员交互过程</w:t>
            </w:r>
          </w:p>
          <w:p>
            <w:pPr>
              <w:numPr>
                <w:ilvl w:val="0"/>
                <w:numId w:val="35"/>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黑体" w:hAnsi="黑体" w:eastAsia="黑体"/>
                <w:color w:val="3d3d3d"/>
                <w:spacing w:val="0"/>
                <w:sz w:val="22"/>
                <w:szCs w:val="22"/>
                <w:shd w:val="clear" w:fill="ffffff"/>
              </w:rPr>
              <w:t>可以组员单独拍摄然后整合</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各类文档撰写</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11.22中午14点前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其余组员（辅助）</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冲刺随笔由组员提供汇报内容，并交由组长撰写</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产品测试</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11.23日</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杨啟超</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负责黑盒测试</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美工辅助</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赵睿言</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杨啟超</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根据前后端需求安排工作</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博客编写</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11.22晚上23点前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后端开发</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11.10</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11.22中午23点前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黄涛</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罗喆</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周源韬</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陈彧齐（辅助）</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袁帅（辅助）</w:t>
            </w:r>
          </w:p>
        </w:tc>
        <w:tc>
          <w:tcPr>
            <w:tcW w:w="3105" w:type="dxa"/>
            <w:tcBorders>
              <w:top w:val="single" w:color="000000" w:sz="8" w:space="0"/>
              <w:left w:val="single" w:color="000000" w:sz="8" w:space="0"/>
              <w:bottom w:val="single" w:color="000000" w:sz="8" w:space="0"/>
              <w:right w:val="single" w:color="000000" w:sz="8" w:space="0"/>
            </w:tcBorders>
            <w:vAlign w:val="center"/>
          </w:tcPr>
          <w:p>
            <w:pPr>
              <w:numPr>
                <w:ilvl w:val="0"/>
                <w:numId w:val="34"/>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详细工作内容参考《软件需求说明书》2.6功能实现类图</w:t>
            </w:r>
          </w:p>
          <w:p>
            <w:pPr>
              <w:numPr>
                <w:ilvl w:val="0"/>
                <w:numId w:val="34"/>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具体安排见之后撰写的《后端开发分工规划表》</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前端开发</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11.10</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11.22中午14点前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袁帅</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朱亚城</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赵睿言</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胡文静</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李玮杰（辅助）</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陈彧齐（辅助）</w:t>
            </w:r>
          </w:p>
        </w:tc>
        <w:tc>
          <w:tcPr>
            <w:tcW w:w="3105" w:type="dxa"/>
            <w:tcBorders>
              <w:top w:val="single" w:color="000000" w:sz="8" w:space="0"/>
              <w:left w:val="single" w:color="000000" w:sz="8" w:space="0"/>
              <w:bottom w:val="single" w:color="000000" w:sz="8" w:space="0"/>
              <w:right w:val="single" w:color="000000" w:sz="8" w:space="0"/>
            </w:tcBorders>
            <w:vAlign w:val="center"/>
          </w:tcPr>
          <w:p>
            <w:pPr>
              <w:numPr>
                <w:ilvl w:val="0"/>
                <w:numId w:val="33"/>
              </w:numPr>
              <w:snapToGrid w:val="false"/>
              <w:spacing w:before="60" w:after="60" w:line="312" w:lineRule="auto"/>
              <w:ind w:hangingChars="160"/>
              <w:jc w:val="left"/>
              <w:rPr>
                <w:rFonts w:ascii="微软雅黑" w:hAnsi="微软雅黑" w:eastAsia="微软雅黑"/>
                <w:color w:val="333333"/>
                <w:sz w:val="21"/>
                <w:szCs w:val="21"/>
              </w:rPr>
            </w:pPr>
            <w:r>
              <w:rPr>
                <w:rFonts w:hint="eastAsia"/>
              </w:rPr>
            </w:r>
            <w:r>
              <w:rPr>
                <w:rFonts w:ascii="微软雅黑" w:hAnsi="微软雅黑" w:eastAsia="微软雅黑"/>
                <w:color w:val="333333"/>
                <w:sz w:val="22"/>
                <w:szCs w:val="22"/>
              </w:rPr>
              <w:t>详细工作内容参考《软件需求说明书》2.6功能实现类图</w:t>
            </w:r>
          </w:p>
          <w:p>
            <w:pPr>
              <w:numPr>
                <w:ilvl w:val="0"/>
                <w:numId w:val="33"/>
              </w:numPr>
              <w:snapToGrid w:val="false"/>
              <w:spacing w:before="60" w:after="60" w:line="312" w:lineRule="auto"/>
              <w:ind w:hangingChars="160"/>
              <w:jc w:val="left"/>
              <w:rPr>
                <w:rFonts w:ascii="Open Sans" w:hAnsi="Open Sans" w:eastAsia="Open Sans"/>
                <w:color w:val="333333"/>
                <w:spacing w:val="0"/>
                <w:sz w:val="24"/>
                <w:szCs w:val="24"/>
                <w:shd w:val="clear" w:fill="ffffff"/>
              </w:rPr>
            </w:pPr>
            <w:r>
              <w:rPr>
                <w:rFonts w:hint="eastAsia"/>
              </w:rPr>
            </w:r>
            <w:r>
              <w:rPr>
                <w:rFonts w:ascii="微软雅黑" w:hAnsi="微软雅黑" w:eastAsia="微软雅黑"/>
                <w:color w:val="333333"/>
                <w:sz w:val="22"/>
                <w:szCs w:val="22"/>
              </w:rPr>
              <w:t>具体安排见之后撰写的《前端开发分工规划表》</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前后端内容整合</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11.19</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11.22中午14点前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全体成员</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Open Sans" w:hAnsi="Open Sans" w:eastAsia="Open Sans"/>
                <w:color w:val="333333"/>
                <w:spacing w:val="0"/>
                <w:sz w:val="24"/>
                <w:szCs w:val="24"/>
                <w:shd w:val="clear" w:fill="ffffff"/>
              </w:rPr>
            </w:pPr>
            <w:r>
              <w:rPr>
                <w:rFonts w:ascii="Open Sans" w:hAnsi="Open Sans" w:eastAsia="Open Sans"/>
                <w:color w:val="333333"/>
                <w:spacing w:val="0"/>
                <w:sz w:val="24"/>
                <w:szCs w:val="24"/>
                <w:shd w:val="clear" w:fill="ffffff"/>
              </w:rPr>
              <w:t>整合后应进行白盒测试</w:t>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GitHub仓库管理</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从项目开始至结束</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11.10</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11.22日</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Open Sans" w:hAnsi="Open Sans" w:eastAsia="Open Sans"/>
                <w:color w:val="333333"/>
                <w:spacing w:val="0"/>
                <w:sz w:val="24"/>
                <w:szCs w:val="24"/>
                <w:shd w:val="clear" w:fill="ffffff"/>
              </w:rPr>
            </w:pPr>
            <w:r>
              <w:rPr>
                <w:rFonts w:ascii="Open Sans" w:hAnsi="Open Sans" w:eastAsia="Open Sans"/>
                <w:color w:val="333333"/>
                <w:spacing w:val="0"/>
                <w:sz w:val="24"/>
                <w:szCs w:val="24"/>
                <w:shd w:val="clear" w:fill="ffffff"/>
              </w:rPr>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制作PPT</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1天</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11.19晚</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11.20开课前</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Open Sans" w:hAnsi="Open Sans" w:eastAsia="Open Sans"/>
                <w:color w:val="333333"/>
                <w:spacing w:val="0"/>
                <w:sz w:val="24"/>
                <w:szCs w:val="24"/>
                <w:shd w:val="clear" w:fill="ffffff"/>
              </w:rPr>
            </w:pPr>
            <w:r>
              <w:rPr>
                <w:rFonts w:ascii="Open Sans" w:hAnsi="Open Sans" w:eastAsia="Open Sans"/>
                <w:color w:val="333333"/>
                <w:spacing w:val="0"/>
                <w:sz w:val="24"/>
                <w:szCs w:val="24"/>
                <w:shd w:val="clear" w:fill="ffffff"/>
              </w:rPr>
            </w:r>
          </w:p>
        </w:tc>
      </w:tr>
      <w:tr>
        <w:trPr>
          <w:trHeight w:val="480" w:hRule="atLeast"/>
        </w:trPr>
        <w:tc>
          <w:tcPr>
            <w:tcW w:w="15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答辩</w:t>
            </w:r>
          </w:p>
        </w:tc>
        <w:tc>
          <w:tcPr>
            <w:tcW w:w="12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t>
            </w:r>
          </w:p>
        </w:tc>
        <w:tc>
          <w:tcPr>
            <w:tcW w:w="1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11.20上课</w:t>
            </w:r>
          </w:p>
        </w:tc>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陈彧齐</w:t>
            </w:r>
          </w:p>
        </w:tc>
        <w:tc>
          <w:tcPr>
            <w:tcW w:w="31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Open Sans" w:hAnsi="Open Sans" w:eastAsia="Open Sans"/>
                <w:color w:val="333333"/>
                <w:spacing w:val="0"/>
                <w:sz w:val="24"/>
                <w:szCs w:val="24"/>
                <w:shd w:val="clear" w:fill="ffffff"/>
              </w:rPr>
            </w:pPr>
            <w:r>
              <w:rPr>
                <w:rFonts w:ascii="Open Sans" w:hAnsi="Open Sans" w:eastAsia="Open Sans"/>
                <w:color w:val="333333"/>
                <w:spacing w:val="0"/>
                <w:sz w:val="24"/>
                <w:szCs w:val="24"/>
                <w:shd w:val="clear" w:fill="ffffff"/>
              </w:rPr>
            </w:r>
          </w:p>
        </w:tc>
      </w:tr>
    </w:tbl>
    <w:p>
      <w:pPr>
        <w:pStyle w:val="t1"/>
        <w:snapToGrid w:val="false"/>
        <w:spacing w:lineRule="auto"/>
        <w:ind/>
        <w:jc w:val="left"/>
        <w:rPr>
          <w:rFonts w:ascii="微软雅黑" w:hAnsi="微软雅黑" w:eastAsia="微软雅黑"/>
        </w:rPr>
      </w:pPr>
      <w:r>
        <w:rPr>
          <w:rFonts w:ascii="微软雅黑" w:hAnsi="微软雅黑" w:eastAsia="微软雅黑"/>
        </w:rPr>
      </w:r>
      <w:r>
        <w:rPr>
          <w:rFonts w:ascii="微软雅黑" w:hAnsi="微软雅黑" w:eastAsia="微软雅黑"/>
        </w:rPr>
        <w:t>前端安排表</w:t>
      </w:r>
    </w:p>
    <w:tbl>
      <w:tblPr>
        <w:tblStyle w:val="a7"/>
        <w:tblW w:w="0" w:type="auto"/>
        <w:tblInd w:w="0"/>
        <w:tblLayout w:type="fixed"/>
        <w:tblCellMar>
          <w:top w:w="120"/>
          <w:left w:w="60"/>
          <w:bottom w:w="120"/>
          <w:right w:w="60"/>
        </w:tblCellMar>
        <w:tblLook w:firstRow="1" w:lastRow="0" w:firstColumn="1" w:lastColumn="0" w:noHBand="0" w:noVBand="1" w:val="04A0"/>
      </w:tblPr>
      <w:tblGrid>
        <w:gridCol w:w="645"/>
        <w:gridCol w:w="4650"/>
        <w:gridCol w:w="1245"/>
        <w:gridCol w:w="2070"/>
      </w:tblGrid>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模块描述</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负责人员</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备注</w:t>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Helvetica Neue" w:hAnsi="Helvetica Neue" w:eastAsia="Helvetica Neue"/>
                <w:color w:val="333333"/>
                <w:sz w:val="22"/>
                <w:szCs w:val="22"/>
              </w:rPr>
              <w:t>小程序视图端的编写和逻辑层总体框架的构建</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袁帅</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2</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Helvetica Neue" w:hAnsi="Helvetica Neue" w:eastAsia="Helvetica Neue"/>
                <w:color w:val="333333"/>
                <w:sz w:val="21"/>
                <w:szCs w:val="21"/>
              </w:rPr>
            </w:pPr>
            <w:r>
              <w:rPr>
                <w:rFonts w:ascii="Helvetica Neue" w:hAnsi="Helvetica Neue" w:eastAsia="Helvetica Neue"/>
                <w:color w:val="333333"/>
                <w:sz w:val="22"/>
                <w:szCs w:val="22"/>
              </w:rPr>
              <w:t>小程序项目管理功能逻辑层上的深层实现与前后端接口的对接</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朱亚城</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3</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Helvetica Neue" w:hAnsi="Helvetica Neue" w:eastAsia="Helvetica Neue"/>
                <w:color w:val="333333"/>
                <w:sz w:val="21"/>
                <w:szCs w:val="21"/>
              </w:rPr>
            </w:pPr>
            <w:r>
              <w:rPr>
                <w:rFonts w:ascii="Helvetica Neue" w:hAnsi="Helvetica Neue" w:eastAsia="Helvetica Neue"/>
                <w:color w:val="333333"/>
                <w:sz w:val="22"/>
                <w:szCs w:val="22"/>
              </w:rPr>
              <w:t>小程序项目创建与个人信息功能</w:t>
            </w:r>
            <w:r>
              <w:rPr>
                <w:rFonts w:ascii="Helvetica Neue" w:hAnsi="Helvetica Neue" w:eastAsia="Helvetica Neue"/>
                <w:color w:val="333333"/>
                <w:sz w:val="22"/>
                <w:szCs w:val="22"/>
              </w:rPr>
              <w:t>逻辑</w:t>
            </w:r>
            <w:r>
              <w:rPr>
                <w:rFonts w:ascii="Helvetica Neue" w:hAnsi="Helvetica Neue" w:eastAsia="Helvetica Neue"/>
                <w:color w:val="333333"/>
                <w:sz w:val="22"/>
                <w:szCs w:val="22"/>
              </w:rPr>
              <w:t>层上的深层实现与前后端接口的对接</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赵睿言</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4</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Helvetica Neue" w:hAnsi="Helvetica Neue" w:eastAsia="Helvetica Neue"/>
                <w:color w:val="333333"/>
                <w:sz w:val="21"/>
                <w:szCs w:val="21"/>
              </w:rPr>
            </w:pPr>
            <w:r>
              <w:rPr>
                <w:rFonts w:ascii="Helvetica Neue" w:hAnsi="Helvetica Neue" w:eastAsia="Helvetica Neue"/>
                <w:color w:val="333333"/>
                <w:sz w:val="22"/>
                <w:szCs w:val="22"/>
              </w:rPr>
              <w:t>小程序教程查询与发现功能逻辑层上的深层实现与前后端接口的对接</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胡文静</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5</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Helvetica Neue" w:hAnsi="Helvetica Neue" w:eastAsia="Helvetica Neue"/>
                <w:color w:val="333333"/>
                <w:sz w:val="21"/>
                <w:szCs w:val="21"/>
              </w:rPr>
            </w:pPr>
            <w:r>
              <w:rPr>
                <w:rFonts w:ascii="Helvetica Neue" w:hAnsi="Helvetica Neue" w:eastAsia="Helvetica Neue"/>
                <w:color w:val="333333"/>
                <w:sz w:val="22"/>
                <w:szCs w:val="22"/>
              </w:rPr>
              <w:t>为小程序视图端的编写提供美工和原型设计层面的支持</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李玮杰</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bl>
    <w:p>
      <w:pPr>
        <w:pStyle w:val="t1"/>
        <w:snapToGrid w:val="false"/>
        <w:spacing w:lineRule="auto"/>
        <w:ind/>
        <w:jc w:val="left"/>
        <w:rPr>
          <w:rFonts w:ascii="微软雅黑" w:hAnsi="微软雅黑" w:eastAsia="微软雅黑"/>
        </w:rPr>
      </w:pPr>
      <w:r>
        <w:rPr>
          <w:rFonts w:ascii="微软雅黑" w:hAnsi="微软雅黑" w:eastAsia="微软雅黑"/>
        </w:rPr>
      </w:r>
      <w:r>
        <w:rPr>
          <w:rFonts w:ascii="微软雅黑" w:hAnsi="微软雅黑" w:eastAsia="微软雅黑"/>
        </w:rPr>
        <w:t xml:space="preserve">后端安排表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645"/>
        <w:gridCol w:w="4650"/>
        <w:gridCol w:w="1245"/>
        <w:gridCol w:w="2070"/>
      </w:tblGrid>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编号</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模块描述</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负责人员</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备注</w:t>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1</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程序主数据库系统的创建与函数教程、用户文件，用户项目子系统的创建</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周源韬</w:t>
            </w:r>
          </w:p>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陈彧齐（辅助）</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2</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管理员功能的实现（对数据库信息的增、删、改、查）</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黄涛</w:t>
            </w:r>
          </w:p>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罗喆</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6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3</w:t>
            </w:r>
          </w:p>
        </w:tc>
        <w:tc>
          <w:tcPr>
            <w:tcW w:w="46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数据库与前端的接口连接</w:t>
            </w:r>
          </w:p>
        </w:tc>
        <w:tc>
          <w:tcPr>
            <w:tcW w:w="12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t>全体后端人员</w:t>
            </w:r>
          </w:p>
        </w:tc>
        <w:tc>
          <w:tcPr>
            <w:tcW w:w="207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center"/>
              <w:rPr>
                <w:rFonts w:ascii="微软雅黑" w:hAnsi="微软雅黑" w:eastAsia="微软雅黑"/>
                <w:color w:val="333333"/>
                <w:sz w:val="21"/>
                <w:szCs w:val="21"/>
              </w:rPr>
            </w:pPr>
            <w:r>
              <w:rPr>
                <w:rFonts w:ascii="微软雅黑" w:hAnsi="微软雅黑" w:eastAsia="微软雅黑"/>
                <w:color w:val="333333"/>
                <w:sz w:val="22"/>
                <w:szCs w:val="22"/>
              </w:rPr>
            </w:r>
          </w:p>
        </w:tc>
      </w:tr>
    </w:tbl>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