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Playfair Display" w:cs="Playfair Display" w:eastAsia="Playfair Display" w:hAnsi="Playfair Display"/>
          <w:i w:val="1"/>
          <w:iCs w:val="1"/>
        </w:rPr>
      </w:pPr>
      <w:bookmarkStart w:colFirst="0" w:colLast="0" w:name="_rqihif4czgbs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Founder Equity &amp; Profit Sharing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wt0a0tj76cs3" w:id="1"/>
      <w:bookmarkEnd w:id="1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1. Ownership Structure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The company has two founding members and shall be incorporated with the following shareholding structure: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CEO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: 65% ownership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CMO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: 35% ownership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Both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founders shall be recognized publicly as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Co-Founders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of VCSHub, with no superior title founder.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ysjq576de6" w:id="2"/>
      <w:bookmarkEnd w:id="2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2. Profit Sharing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Despite the above </w:t>
      </w:r>
      <w:r w:rsidDel="00000000" w:rsidR="00000000" w:rsidRPr="00000000">
        <w:rPr>
          <w:rFonts w:ascii="Playfair Display" w:cs="Playfair Display" w:eastAsia="Playfair Display" w:hAnsi="Playfair Display"/>
          <w:i w:val="1"/>
          <w:iCs w:val="1"/>
          <w:rtl w:val="0"/>
        </w:rPr>
        <w:t xml:space="preserve">customary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equity ownership,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net distributable profits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shall be shared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50% (CEO) / 50% (CMO)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until the company achieves one of the following milestones (whichever comes first):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Annual profit-after-tax (and expenses) surpasses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$1,500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External investors come on board.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The founders mutually agree to revise the structure.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After this milestone: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Profit distribution will default to reflect equity ownership percentages (65/35).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n28ghctpbcj6" w:id="3"/>
      <w:bookmarkEnd w:id="3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3. Decision-Making &amp; Roles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Both parties shall have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equal decision-making authority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in strategic company matters, with each founder’s domain as follows: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CEO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: Vision, strategy, technology, operations, partnerships.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CMO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: Brand, marketing, content, communications, customer experience.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For company-wide decisions, consensus shall be sought; in case of a deadlock,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CEO’s majority equity position shall serve as the tie-breaker.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y0kfz4f5cqas" w:id="4"/>
      <w:bookmarkEnd w:id="4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4. Vesting &amp; Commitment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Each founder’s equity shall be subject to a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4-year vesting schedule with a 1-year cliff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, ensuring continued commitment.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If a founder leaves early, unvested equity shall be forfeited back to the company.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7tw799n7so6z" w:id="5"/>
      <w:bookmarkEnd w:id="5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5. Profit Distribution Policy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Profits shall be calculated after deduction of all operating costs, salaries, and taxes.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Distributions shall be made quarterly, unless otherwise agreed.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Tithes are to be paid (10% of profit-after-tax).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ewu73xpy8fr4" w:id="6"/>
      <w:bookmarkEnd w:id="6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6. Future Adjustments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This agreement shall be revisited upon: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New funding rounds.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Introduction of new shareholders.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Major restructuring of company operations.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3oerdax3d7aw" w:id="7"/>
      <w:bookmarkEnd w:id="7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7. Miscellaneous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Both parties agree this agreement reflects the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spirit of equal partnership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while safeguarding the company’s growth and fundability.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This document shall be binding until replaced or amended in writing by both parties.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Signed:</w:t>
        <w:br w:type="textWrapping"/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CEO  ________________________</w:t>
        <w:tab/>
        <w:tab/>
        <w:tab/>
        <w:t xml:space="preserve">CMO _______________________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