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ind w:right="600"/>
        <w:rPr>
          <w:rFonts w:ascii="Comfortaa" w:cs="Comfortaa" w:eastAsia="Comfortaa" w:hAnsi="Comfortaa"/>
        </w:rPr>
      </w:pPr>
      <w:bookmarkStart w:colFirst="0" w:colLast="0" w:name="_lmpvuvttgw5i" w:id="0"/>
      <w:bookmarkEnd w:id="0"/>
      <w:r w:rsidDel="00000000" w:rsidR="00000000" w:rsidRPr="00000000">
        <w:rPr>
          <w:rFonts w:ascii="Comfortaa" w:cs="Comfortaa" w:eastAsia="Comfortaa" w:hAnsi="Comfortaa"/>
          <w:rtl w:val="0"/>
        </w:rPr>
        <w:t xml:space="preserve">VCSHub — Velocity Concept Solutions Hub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We are an Identity Architecture firm that engineers credibility and visibility for high-trust professionals, thought leaders, and founder-led brands. We transform experience into influence through a blend of research, strategy, design, and visibility systems.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0" w:right="600" w:firstLine="0"/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</w:rPr>
      </w:pPr>
      <w:bookmarkStart w:colFirst="0" w:colLast="0" w:name="_3vk8mcrtexbu" w:id="1"/>
      <w:bookmarkEnd w:id="1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  <w:rtl w:val="0"/>
        </w:rPr>
        <w:t xml:space="preserve">Motto: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Your name should carry weight.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0" w:right="600" w:firstLine="0"/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</w:rPr>
      </w:pPr>
      <w:bookmarkStart w:colFirst="0" w:colLast="0" w:name="_10gso6sna1iz" w:id="2"/>
      <w:bookmarkEnd w:id="2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  <w:rtl w:val="0"/>
        </w:rPr>
        <w:t xml:space="preserve">Vision: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To help silent giants turn their expertise into visible authority that opens doors, builds trust, and commands influence.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ind w:left="0" w:right="600" w:firstLine="0"/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</w:rPr>
      </w:pPr>
      <w:bookmarkStart w:colFirst="0" w:colLast="0" w:name="_7j3thpknp26w" w:id="3"/>
      <w:bookmarkEnd w:id="3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  <w:rtl w:val="0"/>
        </w:rPr>
        <w:t xml:space="preserve">Mission: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To equip elite professionals and high-performing brands with the tools, narratives, and systems to transition from invisible to influential in their industries — through strategic Identity Research, Brand Architecture, and Visibility Design.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ind w:left="0" w:right="600" w:firstLine="0"/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</w:rPr>
      </w:pPr>
      <w:bookmarkStart w:colFirst="0" w:colLast="0" w:name="_9poqomdj8qru" w:id="4"/>
      <w:bookmarkEnd w:id="4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  <w:rtl w:val="0"/>
        </w:rPr>
        <w:t xml:space="preserve">Short-Term Objectives (0–12 months):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Refine and document repeatable systems for onboarding, strategy, and content execution.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Build 3–5 high-impact case studies across key industries (architecture, law, finance, tech).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Establish a strong thought leadership presence on LinkedIn and Instagram.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Convert pilot clients into full-paying retainers.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Hire or partner with 2–3 specialists to scale execution without sacrificing quality.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ind w:left="0" w:right="600" w:firstLine="0"/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</w:rPr>
      </w:pPr>
      <w:bookmarkStart w:colFirst="0" w:colLast="0" w:name="_4whynw688igw" w:id="5"/>
      <w:bookmarkEnd w:id="5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  <w:rtl w:val="0"/>
        </w:rPr>
        <w:t xml:space="preserve">Long-Term Objectives (12–36 months):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Position VCSHub as the go-to Identity Architecture firm for African founders and professionals.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Launch an internal Credibility Index™ to quantify visibility, authority, and trust.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Develop IP-driven offerings like a visibility playbook, brand research templates, and reputation strategy decks.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Expand to serve family offices, boutique investment firms, and premium educational institutions.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Train and license a cohort of credibility engineers under the VCSHub methodology.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ind w:left="0" w:right="600" w:firstLine="0"/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</w:rPr>
      </w:pPr>
      <w:bookmarkStart w:colFirst="0" w:colLast="0" w:name="_juwm13zgk2cs" w:id="6"/>
      <w:bookmarkEnd w:id="6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  <w:rtl w:val="0"/>
        </w:rPr>
        <w:t xml:space="preserve">Core Pillars of Our Work: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Strategy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: 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We begin with research, context, and insight. Identity is not aesthetics. It’s alignment. We map who the client is, what they stand for, and who needs to know.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Design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: 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From visuals to language, we craft assets that convey authority and trust. We build a digital ecosystem that reflects the client’s value and expertise.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rtl w:val="0"/>
        </w:rPr>
        <w:t xml:space="preserve">Visibility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: </w:t>
      </w: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We deploy content, positioning, and platform strategy to ensure great clients are seen for their worth, because influence is engineered, not accidental.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ind w:right="600"/>
        <w:rPr>
          <w:rFonts w:ascii="Playfair Display" w:cs="Playfair Display" w:eastAsia="Playfair Display" w:hAnsi="Playfair Display"/>
          <w:b w:val="1"/>
          <w:bCs w:val="1"/>
          <w:sz w:val="34"/>
          <w:szCs w:val="34"/>
        </w:rPr>
      </w:pPr>
      <w:bookmarkStart w:colFirst="0" w:colLast="0" w:name="_i56jpi12m4wy" w:id="7"/>
      <w:bookmarkEnd w:id="7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sz w:val="34"/>
          <w:szCs w:val="34"/>
          <w:rtl w:val="0"/>
        </w:rPr>
        <w:t xml:space="preserve">Core Service Pillars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0"/>
        <w:gridCol w:w="5400"/>
        <w:tblGridChange w:id="0">
          <w:tblGrid>
            <w:gridCol w:w="3630"/>
            <w:gridCol w:w="5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.1338582677165356" w:type="dxa"/>
              <w:left w:w="1.1338582677165356" w:type="dxa"/>
              <w:bottom w:w="1.1338582677165356" w:type="dxa"/>
              <w:right w:w="1.1338582677165356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ind w:right="600"/>
              <w:jc w:val="center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rtl w:val="0"/>
              </w:rPr>
              <w:t xml:space="preserve">Pillar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.1338582677165356" w:type="dxa"/>
              <w:left w:w="1.1338582677165356" w:type="dxa"/>
              <w:bottom w:w="1.1338582677165356" w:type="dxa"/>
              <w:right w:w="1.1338582677165356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ind w:right="600"/>
              <w:jc w:val="center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.1338582677165356" w:type="dxa"/>
              <w:left w:w="1.1338582677165356" w:type="dxa"/>
              <w:bottom w:w="1.1338582677165356" w:type="dxa"/>
              <w:right w:w="1.1338582677165356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ind w:right="600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rtl w:val="0"/>
              </w:rPr>
              <w:t xml:space="preserve">Identity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.1338582677165356" w:type="dxa"/>
              <w:left w:w="1.1338582677165356" w:type="dxa"/>
              <w:bottom w:w="1.1338582677165356" w:type="dxa"/>
              <w:right w:w="1.1338582677165356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ind w:right="600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Uncover your core value, voice, audience, archetype, and position. Your brand is found, not invented.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.1338582677165356" w:type="dxa"/>
              <w:left w:w="1.1338582677165356" w:type="dxa"/>
              <w:bottom w:w="1.1338582677165356" w:type="dxa"/>
              <w:right w:w="1.1338582677165356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ind w:right="600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rtl w:val="0"/>
              </w:rPr>
              <w:t xml:space="preserve">Brand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.1338582677165356" w:type="dxa"/>
              <w:left w:w="1.1338582677165356" w:type="dxa"/>
              <w:bottom w:w="1.1338582677165356" w:type="dxa"/>
              <w:right w:w="1.1338582677165356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ind w:right="600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We build the structure: strategy, messaging, voice, aesthetic, tone, pillars, brand guidelines.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.1338582677165356" w:type="dxa"/>
              <w:left w:w="1.1338582677165356" w:type="dxa"/>
              <w:bottom w:w="1.1338582677165356" w:type="dxa"/>
              <w:right w:w="1.1338582677165356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ind w:right="600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rtl w:val="0"/>
              </w:rPr>
              <w:t xml:space="preserve">Credibility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.1338582677165356" w:type="dxa"/>
              <w:left w:w="1.1338582677165356" w:type="dxa"/>
              <w:bottom w:w="1.1338582677165356" w:type="dxa"/>
              <w:right w:w="1.1338582677165356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ind w:right="600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We craft a public presence that reflects your private mastery — online, on-brand, and on purpose.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.1338582677165356" w:type="dxa"/>
              <w:left w:w="1.1338582677165356" w:type="dxa"/>
              <w:bottom w:w="1.1338582677165356" w:type="dxa"/>
              <w:right w:w="1.1338582677165356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ind w:right="600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.1338582677165356" w:type="dxa"/>
              <w:left w:w="1.1338582677165356" w:type="dxa"/>
              <w:bottom w:w="1.1338582677165356" w:type="dxa"/>
              <w:right w:w="1.1338582677165356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ind w:right="600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Campaigns, positioning, content funnels, and performance reports.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.1338582677165356" w:type="dxa"/>
              <w:left w:w="1.1338582677165356" w:type="dxa"/>
              <w:bottom w:w="1.1338582677165356" w:type="dxa"/>
              <w:right w:w="1.1338582677165356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ind w:right="600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.1338582677165356" w:type="dxa"/>
              <w:left w:w="1.1338582677165356" w:type="dxa"/>
              <w:bottom w:w="1.1338582677165356" w:type="dxa"/>
              <w:right w:w="1.1338582677165356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ind w:right="600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Visual identity systems, carousels, reels, decks, story frameworks, web aesthetics.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.1338582677165356" w:type="dxa"/>
              <w:left w:w="1.1338582677165356" w:type="dxa"/>
              <w:bottom w:w="1.1338582677165356" w:type="dxa"/>
              <w:right w:w="1.1338582677165356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ind w:right="600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rtl w:val="0"/>
              </w:rPr>
              <w:t xml:space="preserve">Visibility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.1338582677165356" w:type="dxa"/>
              <w:left w:w="1.1338582677165356" w:type="dxa"/>
              <w:bottom w:w="1.1338582677165356" w:type="dxa"/>
              <w:right w:w="1.1338582677165356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ind w:right="600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Page management, thought leadership content, scheduling, analytics, trend integration.</w:t>
            </w:r>
          </w:p>
        </w:tc>
      </w:tr>
    </w:tbl>
    <w:p w:rsidR="00000000" w:rsidDel="00000000" w:rsidP="00000000" w:rsidRDefault="00000000" w:rsidRPr="00000000" w14:paraId="00000028">
      <w:pPr>
        <w:spacing w:after="240" w:before="240" w:lineRule="auto"/>
        <w:ind w:right="60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ind w:right="600"/>
        <w:rPr>
          <w:rFonts w:ascii="Playfair Display" w:cs="Playfair Display" w:eastAsia="Playfair Display" w:hAnsi="Playfair Display"/>
          <w:b w:val="1"/>
          <w:bCs w:val="1"/>
          <w:sz w:val="34"/>
          <w:szCs w:val="34"/>
        </w:rPr>
      </w:pPr>
      <w:bookmarkStart w:colFirst="0" w:colLast="0" w:name="_ozn8hvra8oat" w:id="8"/>
      <w:bookmarkEnd w:id="8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sz w:val="34"/>
          <w:szCs w:val="34"/>
          <w:rtl w:val="0"/>
        </w:rPr>
        <w:t xml:space="preserve">Candidates of The Hub</w:t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3270"/>
        <w:gridCol w:w="2790"/>
        <w:tblGridChange w:id="0">
          <w:tblGrid>
            <w:gridCol w:w="2955"/>
            <w:gridCol w:w="3270"/>
            <w:gridCol w:w="2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ind w:right="600"/>
              <w:jc w:val="center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ind w:right="600"/>
              <w:jc w:val="center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rtl w:val="0"/>
              </w:rPr>
              <w:t xml:space="preserve">They Are...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ind w:right="600"/>
              <w:jc w:val="center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rtl w:val="0"/>
              </w:rPr>
              <w:t xml:space="preserve">We Help Them...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="240" w:lineRule="auto"/>
              <w:ind w:right="600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Silent Giants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="240" w:lineRule="auto"/>
              <w:ind w:right="600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Experts who’ve mastered their craft but never documented 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="240" w:lineRule="auto"/>
              <w:ind w:right="600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Become seen, trusted, and in demand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="240" w:lineRule="auto"/>
              <w:ind w:right="600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Founders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="240" w:lineRule="auto"/>
              <w:ind w:right="600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Building something powerful, but lack narrative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="240" w:lineRule="auto"/>
              <w:ind w:right="600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Architect a brand that attracts trust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="240" w:lineRule="auto"/>
              <w:ind w:right="600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Professionals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="240" w:lineRule="auto"/>
              <w:ind w:right="600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Lawyers, VCs, advisors, architects, consultants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="240" w:lineRule="auto"/>
              <w:ind w:right="600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Go from ghost to guide online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="240" w:lineRule="auto"/>
              <w:ind w:right="600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Founder-Led Brands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="240" w:lineRule="auto"/>
              <w:ind w:right="600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Brands where the identity of the founder is core to the 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="240" w:lineRule="auto"/>
              <w:ind w:right="600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Scale without losing personality or positioning</w:t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ind w:right="600"/>
        <w:rPr>
          <w:rFonts w:ascii="Playfair Display" w:cs="Playfair Display" w:eastAsia="Playfair Display" w:hAnsi="Playfair Display"/>
          <w:b w:val="1"/>
          <w:bCs w:val="1"/>
          <w:sz w:val="34"/>
          <w:szCs w:val="34"/>
        </w:rPr>
      </w:pPr>
      <w:bookmarkStart w:colFirst="0" w:colLast="0" w:name="_fojlyrnlo9do" w:id="9"/>
      <w:bookmarkEnd w:id="9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sz w:val="34"/>
          <w:szCs w:val="34"/>
          <w:rtl w:val="0"/>
        </w:rPr>
        <w:t xml:space="preserve">Internal Values</w:t>
      </w:r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5910"/>
        <w:tblGridChange w:id="0">
          <w:tblGrid>
            <w:gridCol w:w="3120"/>
            <w:gridCol w:w="5910"/>
          </w:tblGrid>
        </w:tblGridChange>
      </w:tblGrid>
      <w:tr>
        <w:trPr>
          <w:cantSplit w:val="0"/>
          <w:trHeight w:val="329.952755905511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.1338582677165356" w:type="dxa"/>
              <w:left w:w="1.1338582677165356" w:type="dxa"/>
              <w:bottom w:w="1.1338582677165356" w:type="dxa"/>
              <w:right w:w="1.1338582677165356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ind w:right="600"/>
              <w:jc w:val="center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.1338582677165356" w:type="dxa"/>
              <w:left w:w="1.1338582677165356" w:type="dxa"/>
              <w:bottom w:w="1.1338582677165356" w:type="dxa"/>
              <w:right w:w="1.1338582677165356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ind w:right="600"/>
              <w:jc w:val="center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rtl w:val="0"/>
              </w:rPr>
              <w:t xml:space="preserve">Expression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.952755905511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.1338582677165356" w:type="dxa"/>
              <w:left w:w="1.1338582677165356" w:type="dxa"/>
              <w:bottom w:w="1.1338582677165356" w:type="dxa"/>
              <w:right w:w="1.1338582677165356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ind w:right="600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.1338582677165356" w:type="dxa"/>
              <w:left w:w="1.1338582677165356" w:type="dxa"/>
              <w:bottom w:w="1.1338582677165356" w:type="dxa"/>
              <w:right w:w="1.1338582677165356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ind w:right="600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Everything is intentional. No noise, only signal.</w:t>
            </w:r>
          </w:p>
        </w:tc>
      </w:tr>
      <w:tr>
        <w:trPr>
          <w:cantSplit w:val="0"/>
          <w:trHeight w:val="329.952755905511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.1338582677165356" w:type="dxa"/>
              <w:left w:w="1.1338582677165356" w:type="dxa"/>
              <w:bottom w:w="1.1338582677165356" w:type="dxa"/>
              <w:right w:w="1.1338582677165356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ind w:right="600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rtl w:val="0"/>
              </w:rPr>
              <w:t xml:space="preserve">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.1338582677165356" w:type="dxa"/>
              <w:left w:w="1.1338582677165356" w:type="dxa"/>
              <w:bottom w:w="1.1338582677165356" w:type="dxa"/>
              <w:right w:w="1.1338582677165356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ind w:right="600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Complexity simplified. Clutter removed. Messaging sharp.</w:t>
            </w:r>
          </w:p>
        </w:tc>
      </w:tr>
      <w:tr>
        <w:trPr>
          <w:cantSplit w:val="0"/>
          <w:trHeight w:val="329.952755905511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.1338582677165356" w:type="dxa"/>
              <w:left w:w="1.1338582677165356" w:type="dxa"/>
              <w:bottom w:w="1.1338582677165356" w:type="dxa"/>
              <w:right w:w="1.1338582677165356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ind w:right="600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rtl w:val="0"/>
              </w:rPr>
              <w:t xml:space="preserve">Discretion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.1338582677165356" w:type="dxa"/>
              <w:left w:w="1.1338582677165356" w:type="dxa"/>
              <w:bottom w:w="1.1338582677165356" w:type="dxa"/>
              <w:right w:w="1.1338582677165356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ind w:right="600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Our clients are high-trust. We operate with confidentiality and care.</w:t>
            </w:r>
          </w:p>
        </w:tc>
      </w:tr>
      <w:tr>
        <w:trPr>
          <w:cantSplit w:val="0"/>
          <w:trHeight w:val="329.952755905511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.1338582677165356" w:type="dxa"/>
              <w:left w:w="1.1338582677165356" w:type="dxa"/>
              <w:bottom w:w="1.1338582677165356" w:type="dxa"/>
              <w:right w:w="1.1338582677165356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ind w:right="600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rtl w:val="0"/>
              </w:rPr>
              <w:t xml:space="preserve">Elevation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.1338582677165356" w:type="dxa"/>
              <w:left w:w="1.1338582677165356" w:type="dxa"/>
              <w:bottom w:w="1.1338582677165356" w:type="dxa"/>
              <w:right w:w="1.1338582677165356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ind w:right="600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We don’t decorate — we position. We elevate silent experts into visible authorities.</w:t>
            </w:r>
          </w:p>
        </w:tc>
      </w:tr>
      <w:tr>
        <w:trPr>
          <w:cantSplit w:val="0"/>
          <w:trHeight w:val="329.952755905511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.1338582677165356" w:type="dxa"/>
              <w:left w:w="1.1338582677165356" w:type="dxa"/>
              <w:bottom w:w="1.1338582677165356" w:type="dxa"/>
              <w:right w:w="1.1338582677165356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ind w:right="600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b w:val="1"/>
                <w:bCs w:val="1"/>
                <w:rtl w:val="0"/>
              </w:rPr>
              <w:t xml:space="preserve">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.1338582677165356" w:type="dxa"/>
              <w:left w:w="1.1338582677165356" w:type="dxa"/>
              <w:bottom w:w="1.1338582677165356" w:type="dxa"/>
              <w:right w:w="1.1338582677165356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ind w:right="600"/>
              <w:rPr>
                <w:rFonts w:ascii="Playfair Display" w:cs="Playfair Display" w:eastAsia="Playfair Display" w:hAnsi="Playfair Display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rtl w:val="0"/>
              </w:rPr>
              <w:t xml:space="preserve">We build repeatable infrastructure for credibility — not one-off projects.</w:t>
            </w:r>
          </w:p>
        </w:tc>
      </w:tr>
    </w:tbl>
    <w:p w:rsidR="00000000" w:rsidDel="00000000" w:rsidP="00000000" w:rsidRDefault="00000000" w:rsidRPr="00000000" w14:paraId="00000046">
      <w:pPr>
        <w:spacing w:after="240" w:before="240" w:lineRule="auto"/>
        <w:ind w:left="0" w:right="600" w:firstLine="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ind w:left="0" w:right="600" w:firstLine="0"/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</w:rPr>
      </w:pPr>
      <w:bookmarkStart w:colFirst="0" w:colLast="0" w:name="_d1zn4si81fd9" w:id="10"/>
      <w:bookmarkEnd w:id="10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  <w:rtl w:val="0"/>
        </w:rPr>
        <w:t xml:space="preserve">Our Beliefs: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Building is not broadcasting. Presence without positioning is noise.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Underqualified is often just undocumented. We fix that.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Being great isn't enough. You must be seen as great.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If your authority ends when you log off, it’s time for a visibility overhaul.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Fonts w:ascii="Playfair Display" w:cs="Playfair Display" w:eastAsia="Playfair Display" w:hAnsi="Playfair Display"/>
          <w:rtl w:val="0"/>
        </w:rPr>
        <w:t xml:space="preserve">Silent giants deserve to be heard, seen, and paid accordingly.</w:t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Playfair Display" w:cs="Playfair Display" w:eastAsia="Playfair Display" w:hAnsi="Playfair Display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mfortaa">
    <w:embedRegular w:fontKey="{00000000-0000-0000-0000-000000000000}" r:id="rId5" w:subsetted="0"/>
    <w:embedBold w:fontKey="{00000000-0000-0000-0000-000000000000}" r:id="rId6" w:subsetted="0"/>
  </w:font>
  <w:font w:name="Nova Mono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Comfortaa-regular.ttf"/><Relationship Id="rId6" Type="http://schemas.openxmlformats.org/officeDocument/2006/relationships/font" Target="fonts/Comfortaa-bold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