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5F"/>
          <w:sz w:val="32"/>
        </w:rPr>
        <w:t>遥感图像细粒度舰船识别 —— 阶段进展汇报</w:t>
      </w:r>
    </w:p>
    <w:p>
      <w:pPr>
        <w:spacing w:after="160"/>
        <w:jc w:val="center"/>
      </w:pPr>
      <w:r>
        <w:rPr>
          <w:b w:val="0"/>
          <w:sz w:val="19"/>
        </w:rPr>
        <w:t>2026 年 9 月 5 日 ｜ 代码与全部实验记录：github.com/The-Walls/remote-sensing-fgvc</w:t>
      </w:r>
    </w:p>
    <w:p>
      <w:pPr>
        <w:pStyle w:val="Heading1"/>
      </w:pPr>
      <w:r>
        <w:t>一、一句话总结</w:t>
      </w:r>
    </w:p>
    <w:p>
      <w:r>
        <w:rPr>
          <w:b/>
        </w:rPr>
        <w:t>本阶段完成了遥感舰船细粒度识别（分类）的完整实验基线：</w:t>
      </w:r>
      <w:r>
        <w:rPr>
          <w:b w:val="0"/>
        </w:rPr>
        <w:t>发现并量化了 FGSCR-42 数据集 39.8% 的近重复泄漏，建立了分组感知的 train/val/test 评测协议和 3 种子复验流程，在干净的测试集上 ResNet50 加去耦后的朝向增广达到 top-1 99.29 ± 0.56、支撑≥5 MPC 99.28 ± 0.39，与换 ConvNeXt-Tiny 持平；检测（目标定位）部分是下一阶段的工作。</w:t>
      </w:r>
    </w:p>
    <w:p>
      <w:pPr>
        <w:pStyle w:val="Heading1"/>
      </w:pPr>
      <w:r>
        <w:t>二、任务理解与本阶段范围</w:t>
      </w:r>
    </w:p>
    <w:p>
      <w:r>
        <w:rPr>
          <w:b w:val="0"/>
        </w:rPr>
        <w:t>任务目标是遥感图像中舰船目标的细粒度检测，即在图像中定位目标并判别其细粒度类别（如 Nimitz 级 / Kitty Hawk 级航母）。细粒度检测由定位和细粒度类别判别两个子问题构成，本阶段先集中解决后者，原因有两条：</w:t>
      </w:r>
    </w:p>
    <w:p>
      <w:pPr>
        <w:pStyle w:val="ListBullet"/>
        <w:spacing w:after="40"/>
      </w:pPr>
      <w:r>
        <w:rPr>
          <w:b w:val="0"/>
        </w:rPr>
        <w:t>细粒度类别判别是整个任务最难、也最能体现遥感特点的部分（目标像素少、朝向任意、背景干扰强、类别长尾），需要先在干净的实验条件下弄清哪些手段真正有效；</w:t>
      </w:r>
    </w:p>
    <w:p>
      <w:pPr>
        <w:pStyle w:val="ListBullet"/>
        <w:spacing w:after="40"/>
      </w:pPr>
      <w:r>
        <w:rPr>
          <w:b w:val="0"/>
        </w:rPr>
        <w:t>目前规模最大的公开遥感舰船细粒度数据集 FGSCR-42（42 类、7,778 张）只有图像级标签，没有目标框，只能做识别。带旋转框的检测数据集（HRSC2016、ShipRSImageNet）计划在下一阶段接入，把本阶段的识别模块和评测协议直接迁移过去。</w:t>
      </w:r>
    </w:p>
    <w:p>
      <w:pPr>
        <w:pStyle w:val="Heading1"/>
      </w:pPr>
      <w:r>
        <w:t>三、主要工作</w:t>
      </w:r>
    </w:p>
    <w:p>
      <w:pPr>
        <w:pStyle w:val="Heading2"/>
      </w:pPr>
      <w:r>
        <w:t>1. 数据审计：发现 FGSCR-42 存在严重的近重复泄漏</w:t>
      </w:r>
    </w:p>
    <w:p>
      <w:r>
        <w:rPr>
          <w:b w:val="0"/>
        </w:rPr>
        <w:t>用增广感知的感知哈希（aHash + pHash，覆盖旋转/翻转变体，双尺度判定）对全库去重，发现 7,778 张图中 47.6% 属于某个近重复组，去重后只剩 5,233 张唯一图像。若按常规做法随机分层切分，held-out 集合中 39.78% 的图像在训练集里有孪生样本，指标会混入对近重复的记忆。此外检出 375 对“同一背景板贴不同舰种”的合成图像和 2 对跨类重复（同一张图两个标签）。</w:t>
      </w:r>
    </w:p>
    <w:p>
      <w:pPr>
        <w:pStyle w:val="Heading2"/>
      </w:pPr>
      <w:r>
        <w:t>2. 评测协议：分组感知三分切分 + 独立测试集 + 多种子</w:t>
      </w:r>
    </w:p>
    <w:p>
      <w:pPr>
        <w:pStyle w:val="ListBullet"/>
        <w:spacing w:after="40"/>
      </w:pPr>
      <w:r>
        <w:rPr>
          <w:b w:val="0"/>
        </w:rPr>
        <w:t>近重复整组进同一个集合，按类别分层把唯一图像组的 60/20/20 分到 train/val/test；</w:t>
      </w:r>
    </w:p>
    <w:p>
      <w:pPr>
        <w:pStyle w:val="ListBullet"/>
        <w:spacing w:after="40"/>
      </w:pPr>
      <w:r>
        <w:rPr>
          <w:b w:val="0"/>
        </w:rPr>
        <w:t>val 只用来选 epoch，test 在该 epoch 上只算一次，报的是 test；</w:t>
      </w:r>
    </w:p>
    <w:p>
      <w:pPr>
        <w:pStyle w:val="ListBullet"/>
        <w:spacing w:after="40"/>
      </w:pPr>
      <w:r>
        <w:rPr>
          <w:b w:val="0"/>
        </w:rPr>
        <w:t>3 个随机种子（同时控制切分与初始化），所有数字报 mean ± std，模块间比较按种子配对；</w:t>
      </w:r>
    </w:p>
    <w:p>
      <w:pPr>
        <w:pStyle w:val="ListBullet"/>
        <w:spacing w:after="40"/>
      </w:pPr>
      <w:r>
        <w:rPr>
          <w:b w:val="0"/>
        </w:rPr>
        <w:t>放宽哈希阈值反向检验分组切分自身的残余泄漏：约 1.7%–6.6%，不是绝对干净，已写入局限。</w:t>
      </w:r>
    </w:p>
    <w:p>
      <w:pPr>
        <w:pStyle w:val="Heading2"/>
      </w:pPr>
      <w:r>
        <w:t>3. 方法阶梯：每档只改一个变量，3 种子</w:t>
      </w:r>
    </w:p>
    <w:p>
      <w:r>
        <w:rPr>
          <w:b w:val="0"/>
        </w:rPr>
        <w:t>以 ResNet50 为基线，逐一验证分辨率（224/320/448）、遥感朝向增广（翻转 + 90° 倍数旋转 + ±30° 自由旋转）、紧凑双线性池化、CBAM 注意力、类别平衡损失（CB-CE）以及主干替换（ConvNeXt-Tiny、ViT-B/16），另设“只缩放不旋转”和“反射填充去耦”两档对照用于拆分增广的效应。</w:t>
      </w:r>
    </w:p>
    <w:p>
      <w:pPr>
        <w:pStyle w:val="Heading2"/>
      </w:pPr>
      <w:r>
        <w:t>4. 工程与可复现性</w:t>
      </w:r>
    </w:p>
    <w:p>
      <w:r>
        <w:rPr>
          <w:b w:val="0"/>
        </w:rPr>
        <w:t>完整流水线（数据体检、去重、缓存、训练、串行排队与断点精确续跑、汇总出表）已开源，30 个单元测试覆盖切分原子性、指标、损失、增广几何；每个结果文件记录对应的代码版本。</w:t>
      </w:r>
    </w:p>
    <w:p>
      <w:pPr>
        <w:pStyle w:val="Heading1"/>
      </w:pPr>
      <w:r>
        <w:t>四、主要结果</w:t>
      </w:r>
    </w:p>
    <w:p>
      <w:pPr>
        <w:spacing w:after="60"/>
      </w:pPr>
      <w:r>
        <w:rPr>
          <w:b w:val="0"/>
        </w:rPr>
        <w:t>test 集在 val 选定 epoch 上的指标，3 种子 mean ± std（百分比）。L1_320 与其余小项见仓库中的完整表。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tblHeader/>
        </w:trPr>
        <w:tc>
          <w:tcPr>
            <w:tcW w:type="dxa" w:w="2948"/>
            <w:shd w:val="clear" w:color="auto" w:fill="1F3A5F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1531"/>
            <w:shd w:val="clear" w:color="auto" w:fill="1F3A5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overall top-1</w:t>
            </w:r>
          </w:p>
        </w:tc>
        <w:tc>
          <w:tcPr>
            <w:tcW w:type="dxa" w:w="1757"/>
            <w:shd w:val="clear" w:color="auto" w:fill="1F3A5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MPC（支撑≥5）</w:t>
            </w:r>
          </w:p>
        </w:tc>
        <w:tc>
          <w:tcPr>
            <w:tcW w:type="dxa" w:w="1531"/>
            <w:shd w:val="clear" w:color="auto" w:fill="1F3A5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全类 MPC</w:t>
            </w:r>
          </w:p>
        </w:tc>
        <w:tc>
          <w:tcPr>
            <w:tcW w:type="dxa" w:w="1531"/>
            <w:shd w:val="clear" w:color="auto" w:fill="1F3A5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错分张数</w:t>
            </w:r>
          </w:p>
        </w:tc>
      </w:tr>
      <w:tr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ResNet50 @224（基线）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97.54 ± 0.15</w:t>
            </w:r>
          </w:p>
        </w:tc>
        <w:tc>
          <w:tcPr>
            <w:tcW w:type="dxa" w:w="175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95.66 ± 0.92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87.43 ± 1.37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35 / 38 / 39</w:t>
            </w:r>
          </w:p>
        </w:tc>
      </w:tr>
      <w:tr>
        <w:tc>
          <w:tcPr>
            <w:tcW w:type="dxa" w:w="2948"/>
            <w:shd w:val="clear" w:color="auto" w:fill="F2F5F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同上，朴素切分（泄漏 39.8%）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98.76 ± 0.13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99.08 ± 0.49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90.22 ± 2.20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21 / 17 / 20</w:t>
            </w:r>
          </w:p>
        </w:tc>
      </w:tr>
      <w:tr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ResNet50 @448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98.41 ± 0.51</w:t>
            </w:r>
          </w:p>
        </w:tc>
        <w:tc>
          <w:tcPr>
            <w:tcW w:type="dxa" w:w="175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96.76 ± 1.09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89.79 ± 2.17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21 / 19 / 32</w:t>
            </w:r>
          </w:p>
        </w:tc>
      </w:tr>
      <w:tr>
        <w:tc>
          <w:tcPr>
            <w:tcW w:type="dxa" w:w="2948"/>
            <w:shd w:val="clear" w:color="auto" w:fill="F2F5F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ResNet50 @448 + 朝向增广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98.34 ± 0.43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97.11 ± 1.38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90.62 ± 2.31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26 / 19 / 30</w:t>
            </w:r>
          </w:p>
        </w:tc>
      </w:tr>
      <w:tr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只缩放不旋转（对照）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96.93 ± 0.61</w:t>
            </w:r>
          </w:p>
        </w:tc>
        <w:tc>
          <w:tcPr>
            <w:tcW w:type="dxa" w:w="175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95.04 ± 1.63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87.59 ± 2.73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46 / 39 / 54</w:t>
            </w:r>
          </w:p>
        </w:tc>
      </w:tr>
      <w:tr>
        <w:tc>
          <w:tcPr>
            <w:tcW w:type="dxa" w:w="2948"/>
            <w:shd w:val="clear" w:color="auto" w:fill="F2F5F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朝向增广，反射填充去耦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19"/>
              </w:rPr>
              <w:t>99.29 ± 0.56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19"/>
              </w:rPr>
              <w:t>99.28 ± 0.39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93.15 ± 0.76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6 / 6 / 20</w:t>
            </w:r>
          </w:p>
        </w:tc>
      </w:tr>
      <w:tr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紧凑双线性池化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96.21 ± 0.41</w:t>
            </w:r>
          </w:p>
        </w:tc>
        <w:tc>
          <w:tcPr>
            <w:tcW w:type="dxa" w:w="175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93.15 ± 0.13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87.87 ± 2.47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60 / 64 / 49</w:t>
            </w:r>
          </w:p>
        </w:tc>
      </w:tr>
      <w:tr>
        <w:tc>
          <w:tcPr>
            <w:tcW w:type="dxa" w:w="2948"/>
            <w:shd w:val="clear" w:color="auto" w:fill="F2F5F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CBAM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97.78 ± 0.99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96.31 ± 1.07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90.08 ± 2.36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37 / 18 / 45</w:t>
            </w:r>
          </w:p>
        </w:tc>
      </w:tr>
      <w:tr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类别平衡损失 CB-CE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98.10 ± 0.69</w:t>
            </w:r>
          </w:p>
        </w:tc>
        <w:tc>
          <w:tcPr>
            <w:tcW w:type="dxa" w:w="175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97.62 ± 1.46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91.81 ± 1.16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39 / 20 / 27</w:t>
            </w:r>
          </w:p>
        </w:tc>
      </w:tr>
      <w:tr>
        <w:tc>
          <w:tcPr>
            <w:tcW w:type="dxa" w:w="2948"/>
            <w:shd w:val="clear" w:color="auto" w:fill="F2F5F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ConvNeXt-Tiny @448 + 增广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99.09 ± 0.33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98.36 ± 0.82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92.12 ± 1.06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19 / 11 / 11</w:t>
            </w:r>
          </w:p>
        </w:tc>
      </w:tr>
      <w:tr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b w:val="0"/>
                <w:sz w:val="19"/>
              </w:rPr>
              <w:t>ViT-B/16 @448 + 增广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98.31 ± 1.23</w:t>
            </w:r>
          </w:p>
        </w:tc>
        <w:tc>
          <w:tcPr>
            <w:tcW w:type="dxa" w:w="175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98.58 ± 0.59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19"/>
              </w:rPr>
              <w:t>94.26 ± 0.77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 w:val="0"/>
                <w:sz w:val="19"/>
              </w:rPr>
              <w:t>46 / 15 / 15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</w:rPr>
        <w:t>MPC = mean-per-class top-1；“支撑≥5”指测试集中至少 5 张图的 30 个类；错分张数为 3 个种子各自的值。四条主要发现：</w:t>
      </w:r>
    </w:p>
    <w:p>
      <w:pPr>
        <w:pStyle w:val="ListBullet"/>
        <w:spacing w:after="40"/>
      </w:pPr>
      <w:r>
        <w:rPr>
          <w:b/>
        </w:rPr>
        <w:t>泄漏效应真实且可测。</w:t>
      </w:r>
      <w:r>
        <w:rPr>
          <w:b w:val="0"/>
        </w:rPr>
        <w:t>同一种子、同一模型下，朴素切分比分组切分的 top-1 高 1.22 ± 0.18 点、支撑≥5 MPC 高 3.42 ± 1.41 点，错分数削去近一半。</w:t>
      </w:r>
    </w:p>
    <w:p>
      <w:pPr>
        <w:pStyle w:val="ListBullet"/>
        <w:spacing w:after="40"/>
      </w:pPr>
      <w:r>
        <w:rPr>
          <w:b/>
        </w:rPr>
        <w:t>只用验证集选 epoch 又在验证集上报分，会系统性高报。</w:t>
      </w:r>
      <w:r>
        <w:rPr>
          <w:b w:val="0"/>
        </w:rPr>
        <w:t>11 组实验里 val 上的最优值平均比同一 epoch 的 test 高 2.0 点全类 MPC，最多 5.3 点，且不是常数，无法事后修正。</w:t>
      </w:r>
    </w:p>
    <w:p>
      <w:pPr>
        <w:pStyle w:val="ListBullet"/>
        <w:spacing w:after="40"/>
      </w:pPr>
      <w:r>
        <w:rPr>
          <w:b/>
        </w:rPr>
        <w:t>朝向增广有效，原实现把它抵消了，去耦后兑现。</w:t>
      </w:r>
      <w:r>
        <w:rPr>
          <w:b w:val="0"/>
        </w:rPr>
        <w:t>增广为消除旋转黑角先放大 1.366 倍再中心裁剪，这一步单独就扣 1.72 ± 0.75 点；在它之上的旋转翻转赚回 2.06 ± 0.35 点（三个种子全正）。去耦实现（反射填充代替放大裁剪）已跑完 3 个种子：相对不加增广的 ResNet50 @448，support≥5 MPC +2.51 ± 0.79 点、top-1 +0.88 ± 0.11 点；相对原实现 support≥5 MPC +2.17 ± 1.14 点。</w:t>
      </w:r>
    </w:p>
    <w:p>
      <w:pPr>
        <w:pStyle w:val="ListBullet"/>
        <w:spacing w:after="40"/>
      </w:pPr>
      <w:r>
        <w:rPr>
          <w:b/>
        </w:rPr>
        <w:t>干净协议下多数模块差异落在噪声内。</w:t>
      </w:r>
      <w:r>
        <w:rPr>
          <w:b w:val="0"/>
        </w:rPr>
        <w:t>能站住的只有：紧凑双线性有害；去耦后的朝向增广是唯一既超过噪声又不增加参数的改动；换 ConvNeXt-Tiny 的收益不超过它；ViT 在尾类最好但头类不稳。CB-CE 与分辨率 320/448 的差别分不出来。</w:t>
      </w:r>
    </w:p>
    <w:p>
      <w:r>
        <w:rPr>
          <w:b w:val="0"/>
        </w:rPr>
        <w:t>尾部效应：测试集里有 12–14 个类只有 1–4 张图，其中 3 个类几乎所有模型全错，把全类 MPC 的上限压到约 93–95%，因此以支撑≥5 MPC 和 top-1 为主指标。</w:t>
      </w:r>
    </w:p>
    <w:p>
      <w:pPr>
        <w:pStyle w:val="Heading1"/>
      </w:pPr>
      <w:r>
        <w:t>五、对已发表结果的一点观察</w:t>
      </w:r>
    </w:p>
    <w:p>
      <w:r>
        <w:rPr>
          <w:b w:val="0"/>
        </w:rPr>
        <w:t>FGSCR-42 没有官方切分，已发表的 98.4%–99.0%（MA-Net 2026、FGShipNet 等）都在各自的随机切分上取得。本工作中同一个 ResNet50 基线在朴素切分下为 98.76 ± 0.13，在分组切分下为 97.54 ± 0.15，已发表数字落在前一个区间。这不能证明它们受泄漏影响，但说明在这个数据集上不做去重就无法解释 1–2 点的差异，而这正是这些方法之间的差距量级。若在分组切分下复现一到两个公开方法，可以把这一点从相关变成证据。</w:t>
      </w:r>
    </w:p>
    <w:p>
      <w:pPr>
        <w:pStyle w:val="Heading1"/>
      </w:pPr>
      <w:r>
        <w:t>六、存在的问题与局限</w:t>
      </w:r>
    </w:p>
    <w:p>
      <w:pPr>
        <w:pStyle w:val="ListBullet"/>
        <w:spacing w:after="40"/>
      </w:pPr>
      <w:r>
        <w:rPr>
          <w:b w:val="0"/>
        </w:rPr>
        <w:t>只在一个数据集上做了审计，且到手的是 7,778 张的发布版（论文标称 9,320 张）；</w:t>
      </w:r>
    </w:p>
    <w:p>
      <w:pPr>
        <w:pStyle w:val="ListBullet"/>
        <w:spacing w:after="40"/>
      </w:pPr>
      <w:r>
        <w:rPr>
          <w:b w:val="0"/>
        </w:rPr>
        <w:t>去重只到像素级近重复，语义近重复（同一艘船不同时相）需要 embedding 相似度另测；</w:t>
      </w:r>
    </w:p>
    <w:p>
      <w:pPr>
        <w:pStyle w:val="ListBullet"/>
        <w:spacing w:after="40"/>
      </w:pPr>
      <w:r>
        <w:rPr>
          <w:b w:val="0"/>
        </w:rPr>
        <w:t>测试集约 1,500 张、尾类只有 1–2 张，全类 MPC 的分辨力受限；</w:t>
      </w:r>
    </w:p>
    <w:p>
      <w:pPr>
        <w:pStyle w:val="ListBullet"/>
        <w:spacing w:after="40"/>
      </w:pPr>
      <w:r>
        <w:rPr>
          <w:b w:val="0"/>
        </w:rPr>
        <w:t>尚未做检测（定位）部分，尚未复现已发表方法。</w:t>
      </w:r>
    </w:p>
    <w:p>
      <w:pPr>
        <w:pStyle w:val="Heading1"/>
      </w:pPr>
      <w:r>
        <w:t>七、下一步计划</w:t>
      </w:r>
    </w:p>
    <w:p>
      <w:pPr>
        <w:pStyle w:val="ListNumber"/>
        <w:spacing w:after="40"/>
      </w:pPr>
      <w:r>
        <w:rPr>
          <w:b/>
        </w:rPr>
        <w:t>检测阶段（核心）。</w:t>
      </w:r>
      <w:r>
        <w:rPr>
          <w:b w:val="0"/>
        </w:rPr>
        <w:t>接入 HRSC2016 / ShipRSImageNet 旋转框数据，先做同样的去重与分组切分审计，再以旋转框检测器 + 本阶段验证过的细粒度分类头构成两阶段方案，与端到端细粒度检测器对比。</w:t>
      </w:r>
    </w:p>
    <w:p>
      <w:pPr>
        <w:pStyle w:val="ListNumber"/>
        <w:spacing w:after="40"/>
      </w:pPr>
      <w:r>
        <w:rPr>
          <w:b/>
        </w:rPr>
        <w:t>把审计扩展到第二个数据集，并加 DINOv2 语义近重复检查。</w:t>
      </w:r>
    </w:p>
    <w:p>
      <w:pPr>
        <w:pStyle w:val="ListNumber"/>
        <w:spacing w:after="40"/>
      </w:pPr>
      <w:r>
        <w:rPr>
          <w:b/>
        </w:rPr>
        <w:t>在分组切分下复现一个已发表方法。</w:t>
      </w:r>
    </w:p>
    <w:p>
      <w:pPr>
        <w:pStyle w:val="ListNumber"/>
        <w:spacing w:after="40"/>
      </w:pPr>
      <w:r>
        <w:rPr>
          <w:b/>
        </w:rPr>
        <w:t>论文定位。</w:t>
      </w:r>
      <w:r>
        <w:rPr>
          <w:b w:val="0"/>
        </w:rPr>
        <w:t>识别阶段的贡献在数据与评测一侧（泄漏量化、分组感知协议、选择偏差实测），拟以“遥感细粒度基准审计与评测协议”为主线，检测结果作为应用验证。</w:t>
      </w:r>
    </w:p>
    <w:p>
      <w:pPr>
        <w:spacing w:before="160"/>
      </w:pPr>
      <w:r>
        <w:rPr>
          <w:b/>
          <w:sz w:val="19"/>
        </w:rPr>
        <w:t>附：</w:t>
      </w:r>
      <w:r>
        <w:rPr>
          <w:b w:val="0"/>
          <w:sz w:val="19"/>
        </w:rPr>
        <w:t>仓库 github.com/The-Walls/remote-sensing-fgvc，README 含完整复现步骤；配置、日志、指标、混淆矩阵、错分样例随仓库提交，权重文件除外。环境 Python 3.14 / PyTorch 2.11 / timm 1.0.27 / RTX 5090 D，3 种子全阶梯（12 档）约 10.5 小时。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 w:cs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Microsoft YaHei" w:hAnsi="Microsoft YaHei" w:eastAsia="Microsoft YaHei" w:cs="Microsoft YaHei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="Microsoft YaHei" w:hAnsi="Microsoft YaHei" w:eastAsia="Microsoft YaHei" w:cs="Microsoft YaHei"/>
      <w:b/>
      <w:bCs/>
      <w:color w:val="1F3A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