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8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32"/>
          <w:szCs w:val="32"/>
        </w:rPr>
        <w:t xml:space="preserve">遥感图像细粒度舰船识别 —— 假期工作汇报</w:t>
      </w:r>
    </w:p>
    <w:p>
      <w:pPr>
        <w:spacing w:after="200" w:before="0" w:line="258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2026 年 9 月 7 日</w:t>
      </w:r>
    </w:p>
    <w:tbl>
      <w:tblPr>
        <w:tblW w:type="dxa" w:w="9300"/>
        <w:tblBorders>
          <w:top w:val="single" w:color="1F3A5F" w:sz="8"/>
          <w:left w:val="single" w:color="1F3A5F" w:sz="8"/>
          <w:bottom w:val="single" w:color="1F3A5F" w:sz="8"/>
          <w:right w:val="single" w:color="1F3A5F" w:sz="8"/>
          <w:insideH w:val="single" w:color="1F3A5F" w:sz="8"/>
          <w:insideV w:val="single" w:color="1F3A5F" w:sz="8"/>
        </w:tblBorders>
      </w:tblPr>
      <w:tblGrid>
        <w:gridCol w:w="9300"/>
      </w:tblGrid>
      <w:tr>
        <w:tc>
          <w:tcPr>
            <w:tcW w:type="dxa" w:w="9300"/>
            <w:shd w:fill="F2F5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5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结论摘要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FGSCR-42 的增广副本泄漏被量化。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数据集论文自述用旋转、裁剪副本补齐类别，但发布版没有标注，也没有切分文件。全库 47.6% 的图像属于某个近重复组；按常规做法随机切分，39.8% 的验证/测试图在训练集里有孪生。同一模型下，这种切分把 top-1 虚高 +1.22 ± 0.18 点，错分数减少近一半。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建立了干净的评测协议。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近重复整组进同一集合、独立测试集只报一次、3 个随机种子配对比较。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干净协议下的最好结果：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ImageNet 预训练 ResNet50 加上修正后的旋转增广，top-1 99.29 ± 0.56、支撑≥5 MPC 99.28 ± 0.39，不增加参数与推理计算，与换 ConvNeXt-Tiny（99.09 ± 0.33）持平。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已发表的最高结果（98.1–99.0%，切分均未公开或未说明）落在本工作分组切分基线与朴素切分基线之间到略高的区间；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三者相互差距 0.9 点，小于泄漏效应 +1.22 ± 0.18。这不能说明它们受泄漏影响（跨论文训练配方差异在 5 点以上），但说明在切分不公开、不去重的前提下，1 点以内的差距无法与切分差异区分开。</w:t>
            </w:r>
          </w:p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术语：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MPC = 各类准确率的平均；支撑≥5 MPC = 只统计测试集中样本≥5 张的类（3 个种子下为 28 / 30 / 30 个类）；朴素切分 = 不去重的随机分层切分，分组切分 = 近重复整组进同一集合；种子配对 = 同一种子下两档相减后对 3 个种子取 mean ± std；“超过噪声”= 配对差分绝对值大于 2 倍种子标准差。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6"/>
          <w:szCs w:val="26"/>
        </w:rPr>
        <w:t xml:space="preserve">一、任务口径与数据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任务按图像级细粒度分类理解。数据集用公开的 FGSCR-42（Di et al., Remote Sensing 2021）：42 个舰船细粒度类别，发布版 7,778 张（论文标称 9,320 张，P2Net 等工作也报告到手约 7,776 张），最多类 778 张、最少类 2 张，24.2% 的图像短边不足 224 像素；只有图像级标签，没有官方切分文件。基线为 ImageNet 预训练的 ResNet50。时间线：5 月底搭环境，8 月中旬起集中实验，第一轮（单种子）完成后发现评测协议有问题，9 月初全部重跑并补做去耦对照。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6"/>
          <w:szCs w:val="26"/>
        </w:rPr>
        <w:t xml:space="preserve">二、请老师定的事 / 需要的支持</w:t>
      </w:r>
    </w:p>
    <w:p>
      <w:pPr>
        <w:pStyle w:val="ListParagraph"/>
        <w:numPr>
          <w:ilvl w:val="0"/>
          <w:numId w:val="3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方向：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继续把识别侧做扎实（在分组切分下复现一个公开方法、扩展到第二个数据集），还是扩展到带旋转框的检测（HRSC2016 / ShipRSImageNet）？</w:t>
      </w:r>
    </w:p>
    <w:p>
      <w:pPr>
        <w:pStyle w:val="ListParagraph"/>
        <w:numPr>
          <w:ilvl w:val="0"/>
          <w:numId w:val="3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论文定位：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以“遥感细粒度基准审计 + 评测协议”为主线、方法消融作支撑，这个定位是否可行？目标刊物和时间点请老师指点。</w:t>
      </w:r>
    </w:p>
    <w:p>
      <w:pPr>
        <w:pStyle w:val="ListParagraph"/>
        <w:numPr>
          <w:ilvl w:val="0"/>
          <w:numId w:val="3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发布版比论文少约 1,500 张且无切分文件，是否需要联系数据集作者索取完整版和官方切分？</w:t>
      </w:r>
    </w:p>
    <w:p>
      <w:pPr>
        <w:pStyle w:val="ListParagraph"/>
        <w:numPr>
          <w:ilvl w:val="0"/>
          <w:numId w:val="3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算力：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目前在单卡 RTX 5090 D 上做，3 种子 12 档共约 10.5 GPU 小时；若扩展到检测，算力需求会明显增加。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6"/>
          <w:szCs w:val="26"/>
        </w:rPr>
        <w:t xml:space="preserve">三、做了什么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3.1 数据审计：量化增广副本造成的泄漏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FGSCR-42 论文 §3.5 说明用光照、旋转、裁剪副本把每类补到约 200 张，§3.6 按原始图 50/50 切分并承诺公开切分文件，但发布包中既没有副本标注也没有切分文件。用增广感知的感知哈希（aHash + pHash，覆盖旋转/翻转变体，双尺度判定）对全库去重，结果：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7,778 张中 47.6% 属于某个近重复组，去重后只剩 5,233 张唯一图像（图 1）；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若不去重做随机分层切分，39.8% 的验证/测试图像在训练集里有孪生；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另检出 375 对共享同一背景板、目标不同的合成图像（其中 10 对跨类）和 2 对跨类重复。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同一套工具在 MTARSI-fixed（飞机，2,264 张 / 27 类）上也检出 16.4% 的重复和 63 对合成图，说明这类问题不是 FGSCR-42 独有。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58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1  被判为近重复的图像对示例（左：原图，右：库中检出的孪生），三对分别来自不同类别；不去重的随机切分会把它们分到不同集合。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3.2 评测协议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近重复整组进同一集合，按类别分层把唯一图像组的 60 / 20 / 20 分到 train / val / test（3 个种子的 test 分别 1,482 / 1,594 / 1,477 张）；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val 只用来选 epoch；test 每个 epoch 都算，但只在 val 选定的 epoch 上读数、只报一次；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3 个随机种子同时控制切分与初始化，所有数字报 mean ± std，模块间比较按种子配对；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放宽哈希阈值反向检验分组切分自身的残余泄漏：约 1.7%–6.6%，不是绝对干净，写入局限。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3.3 实验设计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以 ResNet50 @224 为地板，每档相对父级只改一个字段：分辨率（320 / 448）→ 旋转增广及两档对照（只缩放、反射填充）→ 池化头（紧凑双线性、CBAM）/ 损失（类别平衡 CB-CE）/ 主干（ConvNeXt-Tiny、ViT-B/16），另加一档朴素切分对照（L0†）只用于量化泄漏，共 12 档 × 3 种子。池化头、损失和主干三组都建立在原实现旋转增广（L2）之上；反射填充版（L2r）是后补的对照。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3.4 第一轮踩过的坑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第一轮只跑单种子、在 val 上报分，得出“448 明显优于 320”“CB-CE 收益站得住”“只错 2–5 张”等结论（第一轮切分也未去重，held-out 中 44.78% 有训练孪生）；换成去重 + 3 种子 + 独立 test 后全部不成立（val 与 test 在同一 epoch 上可相差 ±5 点，见 4.2），这是第二轮全部重跑的原因；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旋转增广为消除黑角设的放大系数 1.15 只覆盖 ±9.4°，66.5% 的训练样本带黑角，修正为 1.366 后又发现放大本身会扣分（见 4.3）；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ViT 误用 224 预训练权重跑 448 输入，weight decay 误加到归一化层和偏置上，均已修正。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6"/>
          <w:szCs w:val="26"/>
        </w:rPr>
        <w:t xml:space="preserve">四、主要结果：泄漏可测，修好的旋转增广最有效，其余模块在噪声内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指标说明：test 集有 12–14 个类只有 1–4 张图，其中 3 个类几乎所有模型全错，一张图的对错就是全类 MPC 的 2.4 点，所以以支撑≥5 MPC 和总体 top-1 为主指标，全类 MPC 只作参考。</w:t>
      </w:r>
    </w:p>
    <w:p>
      <w:pPr>
        <w:keepNext/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表 1  主要配置在 test 集上的指标（%），val 选 epoch、test 只报一次，3 种子 mean ± std；错分张数为 3 个种子各自的值（test 约 1,500 张）；粗体为该列最优。† 仅用于量化泄漏，不参与比较。其余 5 档见图 2。</w:t>
      </w:r>
    </w:p>
    <w:tbl>
      <w:tblPr>
        <w:tblW w:type="dxa" w:w="9100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650"/>
        <w:gridCol w:w="2900"/>
        <w:gridCol w:w="1350"/>
        <w:gridCol w:w="1350"/>
        <w:gridCol w:w="1350"/>
        <w:gridCol w:w="1500"/>
      </w:tblGrid>
      <w:tr>
        <w:trPr>
          <w:tblHeader/>
        </w:trPr>
        <w:tc>
          <w:tcPr>
            <w:tcW w:type="dxa" w:w="6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90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配置</w:t>
            </w:r>
          </w:p>
        </w:tc>
        <w:tc>
          <w:tcPr>
            <w:tcW w:type="dxa" w:w="13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总体 top-1</w:t>
            </w:r>
          </w:p>
        </w:tc>
        <w:tc>
          <w:tcPr>
            <w:tcW w:type="dxa" w:w="13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支撑≥5 MPC</w:t>
            </w:r>
          </w:p>
        </w:tc>
        <w:tc>
          <w:tcPr>
            <w:tcW w:type="dxa" w:w="13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全类 MPC</w:t>
            </w:r>
          </w:p>
        </w:tc>
        <w:tc>
          <w:tcPr>
            <w:tcW w:type="dxa" w:w="150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错分张数 (seed 0/1/2)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ResNet50 @224（基线）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97.54 ± 0.15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95.66 ± 0.92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87.43 ± 1.37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 / 38 / 39</w:t>
            </w:r>
          </w:p>
        </w:tc>
      </w:tr>
      <w:tr>
        <w:trPr>
          <w:cantSplit/>
        </w:trPr>
        <w:tc>
          <w:tcPr>
            <w:tcW w:type="dxa" w:w="6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sz w:val="19"/>
                <w:szCs w:val="19"/>
              </w:rPr>
              <w:t xml:space="preserve">L0†</w:t>
            </w:r>
          </w:p>
        </w:tc>
        <w:tc>
          <w:tcPr>
            <w:tcW w:type="dxa" w:w="29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sz w:val="19"/>
                <w:szCs w:val="19"/>
              </w:rPr>
              <w:t xml:space="preserve">同上，朴素切分 †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98.76 ± 0.13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99.08 ± 0.49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90.22 ± 2.20</w:t>
            </w:r>
          </w:p>
        </w:tc>
        <w:tc>
          <w:tcPr>
            <w:tcW w:type="dxa" w:w="15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sz w:val="19"/>
                <w:szCs w:val="19"/>
              </w:rPr>
              <w:t xml:space="preserve">21 / 17 / 20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ResNet50 @448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98.41 ± 0.51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96.76 ± 1.09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89.79 ± 2.17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 / 19 / 32</w:t>
            </w:r>
          </w:p>
        </w:tc>
      </w:tr>
      <w:tr>
        <w:trPr>
          <w:cantSplit/>
        </w:trPr>
        <w:tc>
          <w:tcPr>
            <w:tcW w:type="dxa" w:w="6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29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L1 + 旋转增广（原实现）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98.34 ± 0.43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97.11 ± 1.38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90.62 ± 2.31</w:t>
            </w:r>
          </w:p>
        </w:tc>
        <w:tc>
          <w:tcPr>
            <w:tcW w:type="dxa" w:w="15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 / 19 / 30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L2r</w:t>
            </w:r>
          </w:p>
        </w:tc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L1 + 旋转增广（反射填充）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99.29 ± 0.56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99.28 ± 0.39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93.15 ± 0.76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/ 6 / 20</w:t>
            </w:r>
          </w:p>
        </w:tc>
      </w:tr>
      <w:tr>
        <w:trPr>
          <w:cantSplit/>
        </w:trPr>
        <w:tc>
          <w:tcPr>
            <w:tcW w:type="dxa" w:w="6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L6a</w:t>
            </w:r>
          </w:p>
        </w:tc>
        <w:tc>
          <w:tcPr>
            <w:tcW w:type="dxa" w:w="29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L2，主干换 ConvNeXt-Tiny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99.09 ± 0.33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98.36 ± 0.82</w:t>
            </w:r>
          </w:p>
        </w:tc>
        <w:tc>
          <w:tcPr>
            <w:tcW w:type="dxa" w:w="13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92.12 ± 1.06</w:t>
            </w:r>
          </w:p>
        </w:tc>
        <w:tc>
          <w:tcPr>
            <w:tcW w:type="dxa" w:w="15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 / 11 / 11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L6b</w:t>
            </w:r>
          </w:p>
        </w:tc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L2，主干换 ViT-B/16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98.31 ± 1.23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98.58 ± 0.59</w:t>
            </w:r>
          </w:p>
        </w:tc>
        <w:tc>
          <w:tcPr>
            <w:tcW w:type="dxa" w:w="13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94.26 ± 0.77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 / 15 / 15</w:t>
            </w:r>
          </w:p>
        </w:tc>
      </w:tr>
    </w:tbl>
    <w:p>
      <w:pPr>
        <w:spacing w:after="60"/>
      </w:pP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58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2  全部 12 档在 test 集上的总体 top-1（左）与支撑≥5 MPC（右），柱为 3 种子均值、误差棒为种子标准差；红色为朴素切分对照，橙色为反射填充旋转增广。右图中多数档的误差棒与基线重叠；各模块相对父级的配对差分见表 2 与 4.4。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4.1 泄漏效应真实且可测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同一种子、同一模型下，朴素切分比分组切分的 top-1 高 +1.22 ± 0.18 点、支撑≥5 MPC 高 +3.42 ± 1.41 点（3 个种子全正），错分张数从 35 / 38 / 39 降到 21 / 17 / 20。最可能的解释是这些有训练孪生的图被记忆了；重复组集中在样本多的类，所以支撑≥5 MPC 受影响最大。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4.2 val 与 test 在同一 epoch 上可相差 ±5 点，但没有系统性高报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直接比较 val 与 test 的全类 MPC，12 档平均 val 高 +1.8 点，但这几乎全是指标口径造成的：Horizon 类只有 2 个唯一图像组，按切分规则永远进不了 val，却在 test 里始终有 1 张且所有模型全错；全类 MPC 只对有样本的类求均值，于是 test 天然比 val 低约 2.2 点。在两集共有的 41 类上重算，12 档平均差为 −0.4 点（6/12 为正，逐种子在 −5.4 到 +5.9 之间），总体 top-1 的平均差为 −0.2 点：符号不定，看不出系统性高报。第一轮结论不可靠的原因是单种子加上 ±5 点的 val/test 采样噪声，而不是 val 报分偏高。独立测试集和多种子仍然必要，但理由是噪声量级，不是偏差。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4.3 旋转增广本身有效，原实现把它抵消了；改用反射填充后兑现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原实现为消除旋转黑角先把图放大 1.366 倍再中心裁剪，这一步造成训练与测试的尺度失配。把它单独拆出来测（表 2、图 3）：</w:t>
      </w:r>
    </w:p>
    <w:p>
      <w:pPr>
        <w:keepNext/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表 2  旋转增广的拆分：test 指标的同种子配对差分（百分点），mean ± std 与逐种子值。L1 = ResNet50 @448 无增广，L2z = L1 + 只做放大裁剪，L2 = L1 + 原实现旋转增广，L2r = L1 + 反射填充旋转增广。</w:t>
      </w:r>
    </w:p>
    <w:tbl>
      <w:tblPr>
        <w:tblW w:type="dxa" w:w="9300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4150"/>
        <w:gridCol w:w="1500"/>
        <w:gridCol w:w="1500"/>
        <w:gridCol w:w="2150"/>
      </w:tblGrid>
      <w:tr>
        <w:trPr>
          <w:tblHeader/>
        </w:trPr>
        <w:tc>
          <w:tcPr>
            <w:tcW w:type="dxa" w:w="41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比较</w:t>
            </w:r>
          </w:p>
        </w:tc>
        <w:tc>
          <w:tcPr>
            <w:tcW w:type="dxa" w:w="150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支撑≥5 MPC</w:t>
            </w:r>
          </w:p>
        </w:tc>
        <w:tc>
          <w:tcPr>
            <w:tcW w:type="dxa" w:w="150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总体 top-1</w:t>
            </w:r>
          </w:p>
        </w:tc>
        <w:tc>
          <w:tcPr>
            <w:tcW w:type="dxa" w:w="21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逐种子 支撑≥5 MPC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只做放大裁剪（L2z − L1）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−1.72 ± 0.75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−1.48 ± 0.22</w:t>
            </w:r>
          </w:p>
        </w:tc>
        <w:tc>
          <w:tcPr>
            <w:tcW w:type="dxa" w:w="21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−0.87 / −1.98 / −2.30</w:t>
            </w:r>
          </w:p>
        </w:tc>
      </w:tr>
      <w:tr>
        <w:trPr>
          <w:cantSplit/>
        </w:trPr>
        <w:tc>
          <w:tcPr>
            <w:tcW w:type="dxa" w:w="41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放大裁剪之上加旋转翻转（L2 − L2z）</w:t>
            </w:r>
          </w:p>
        </w:tc>
        <w:tc>
          <w:tcPr>
            <w:tcW w:type="dxa" w:w="15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+2.06 ± 0.35</w:t>
            </w:r>
          </w:p>
        </w:tc>
        <w:tc>
          <w:tcPr>
            <w:tcW w:type="dxa" w:w="15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+1.41 ± 0.19</w:t>
            </w:r>
          </w:p>
        </w:tc>
        <w:tc>
          <w:tcPr>
            <w:tcW w:type="dxa" w:w="21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+1.66 / +2.22 / +2.31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原实现旋转增广的净效果（L2 − L1）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+0.35 ± 0.40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−0.07 ± 0.24</w:t>
            </w:r>
          </w:p>
        </w:tc>
        <w:tc>
          <w:tcPr>
            <w:tcW w:type="dxa" w:w="21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+0.79 / +0.24 / +0.01</w:t>
            </w:r>
          </w:p>
        </w:tc>
      </w:tr>
      <w:tr>
        <w:trPr>
          <w:cantSplit/>
        </w:trPr>
        <w:tc>
          <w:tcPr>
            <w:tcW w:type="dxa" w:w="41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反射填充旋转增广的净效果（L2r − L1）</w:t>
            </w:r>
          </w:p>
        </w:tc>
        <w:tc>
          <w:tcPr>
            <w:tcW w:type="dxa" w:w="15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+2.51 ± 0.79</w:t>
            </w:r>
          </w:p>
        </w:tc>
        <w:tc>
          <w:tcPr>
            <w:tcW w:type="dxa" w:w="150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+0.88 ± 0.11</w:t>
            </w:r>
          </w:p>
        </w:tc>
        <w:tc>
          <w:tcPr>
            <w:tcW w:type="dxa" w:w="21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+1.98 / +2.14 / +3.42</w:t>
            </w:r>
          </w:p>
        </w:tc>
      </w:tr>
    </w:tbl>
    <w:p>
      <w:pPr>
        <w:spacing w:after="60"/>
      </w:pP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放大裁剪单独扣分、旋转翻转单独加分，三个种子方向完全一致，两者几乎抵消，所以原实现相对不加增广 ≈ 0。改用反射填充后净收益兑现：支撑≥5 MPC +2.51 ± 0.79、top-1 +0.88 ± 0.11（3 种子全正），达到 top-1 99.29 ± 0.56、错分 6 / 6 / 20 张（seed 2 的 20 张来自选 epoch 准则停在第 9 个 epoch，见 4.4；三种子收敛值 99.34 与之一致），不增加参数与推理计算（训练每 epoch 12.1 → 14.3 s）。它是全阶梯上唯一既超过噪声、又不增加参数和推理计算的正向改动；分辨率提升也超过噪声，但代价是 1.8–3.3 倍计算。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3147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58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3  旋转增广拆分：细线为各种子，粗线为 3 种子均值（test 支撑≥5 MPC）。只加放大裁剪一律下降，加旋转翻转一律回升，反射填充去掉放大后三个种子全部高于无增广。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2"/>
          <w:szCs w:val="22"/>
        </w:rPr>
        <w:t xml:space="preserve">4.4 其余模块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紧凑双线性池化在当前配方下有害：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top-1 −2.13 ± 0.78、支撑≥5 MPC −3.96 ± 1.47，两项主指标全阶梯最差（沿用了 GAP 头的超参，未单独调参）。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CBAM、CB-CE、320 对 448 的差别都在噪声内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（CBAM top-1 −0.57 ± 0.56；CB-CE 全类 MPC +1.19 ± 1.20；448 − 320 top-1 +0.08 ± 0.22）。分辨率 224→320 的 top-1 +0.79 ± 0.35 超过噪声，再到 448 没有可分辨的收益，而每 epoch 时间分别是 224 的 1.8 倍和 3.3 倍——后续实验可在 320 上跑以省一半算力。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换主干的收益不超过修好增广的收益：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在原实现增广之上换 ConvNeXt-Tiny 得到 99.09 ± 0.33；ResNet50 + 反射填充增广相对它（L2r − L6a）top-1 +0.19 ± 0.75、支撑≥5 MPC +0.91 ± 0.56，均在噪声内，即持平；ConvNeXt + 反射填充尚未测。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ViT-B/16 的全类 MPC 最高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（94.26 ± 0.77），但相对 L2 的 +3.63 ± 2.29 落在噪声内、量级等于一两张尾类图片，参数 3.7 倍。其 top-1 98.31 ± 1.23 中 seed 0 的 96.90 来自 val 全类 MPC 选中的单个 epoch（该 seed 最后 10 个 epoch 均值 98.95，三种子收敛值 98.96）——不稳的是用全类 MPC 选 epoch 的准则，不是模型。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剩余错误集中在尾类（图 4）：最佳配置 seed 0 的 6 张错分里 4 张来自 test 只有 1–2 张的类，属于数据问题而非模型问题。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58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4  ResNet50 + 反射填充旋转增广（seed 0）在 test 集 1,482 张上的全部 6 张错分；方括号内为该类在 test 中的张数。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6"/>
          <w:szCs w:val="26"/>
        </w:rPr>
        <w:t xml:space="preserve">五、与已发表结果的对照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FGSCR-42 没有官方切分文件。近三年报告的 overall accuracy 最高为 98.09%（Cog-Net，TGRS 2024）、98.40%（MA-Net，Remote Sensing 2026）、98.96%（FGShipNet，Ocean Engineering 2025），切分方式均未公开或未说明，且按 9,320 张报告，本工作到手 7,778 张，并非同一集合。本工作同一个 ResNet50 在朴素切分下 98.76 ± 0.13、分组切分下 97.54 ± 0.15：三个已发表数字都高于后者，与前者处于同一水平（−0.7 到 +0.2 点）。这不能说明它们受泄漏影响——MA-Net 自报的 ResNet50 基线只有 92.26%，训练配方带来的跨论文差异在 5 点以上，比泄漏效应大得多；但泄漏效应（+1.22 ± 0.18）已超过这三个方法之间的全部差距（0.9 点）。所以在这个数据集上不公开切分、不去重，1 点以内的排名没有解释力；在分组切分下复现其中一个公开实现，是把这一点从相关变成证据的最短路径。</w:t>
      </w:r>
    </w:p>
    <w:p>
      <w:pPr>
        <w:keepNext/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表 3  FGSCR-42 上的已发表结果与本工作基线（overall accuracy = 总体 top-1，%）。</w:t>
      </w:r>
    </w:p>
    <w:tbl>
      <w:tblPr>
        <w:tblW w:type="dxa" w:w="9300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3650"/>
        <w:gridCol w:w="550"/>
        <w:gridCol w:w="3150"/>
        <w:gridCol w:w="1950"/>
      </w:tblGrid>
      <w:tr>
        <w:trPr>
          <w:tblHeader/>
        </w:trPr>
        <w:tc>
          <w:tcPr>
            <w:tcW w:type="dxa" w:w="36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方法（出处）</w:t>
            </w:r>
          </w:p>
        </w:tc>
        <w:tc>
          <w:tcPr>
            <w:tcW w:type="dxa" w:w="5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年份</w:t>
            </w:r>
          </w:p>
        </w:tc>
        <w:tc>
          <w:tcPr>
            <w:tcW w:type="dxa" w:w="31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报告值</w:t>
            </w:r>
          </w:p>
        </w:tc>
        <w:tc>
          <w:tcPr>
            <w:tcW w:type="dxa" w:w="1950"/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切分 / 去重</w:t>
            </w:r>
          </w:p>
        </w:tc>
      </w:tr>
      <w:tr>
        <w:trPr>
          <w:cantSplit/>
        </w:trPr>
        <w:tc>
          <w:tcPr>
            <w:tcW w:type="dxa" w:w="36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本工作 ResNet50@224，分组切分</w:t>
            </w:r>
          </w:p>
        </w:tc>
        <w:tc>
          <w:tcPr>
            <w:tcW w:type="dxa" w:w="5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</w:t>
            </w:r>
          </w:p>
        </w:tc>
        <w:tc>
          <w:tcPr>
            <w:tcW w:type="dxa" w:w="31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97.54 ± 0.15</w:t>
            </w:r>
          </w:p>
        </w:tc>
        <w:tc>
          <w:tcPr>
            <w:tcW w:type="dxa" w:w="19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分组切分，去重</w:t>
            </w:r>
          </w:p>
        </w:tc>
      </w:tr>
      <w:tr>
        <w:trPr>
          <w:cantSplit/>
        </w:trPr>
        <w:tc>
          <w:tcPr>
            <w:tcW w:type="dxa" w:w="36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本工作 ResNet50@224，朴素切分</w:t>
            </w:r>
          </w:p>
        </w:tc>
        <w:tc>
          <w:tcPr>
            <w:tcW w:type="dxa" w:w="5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</w:t>
            </w:r>
          </w:p>
        </w:tc>
        <w:tc>
          <w:tcPr>
            <w:tcW w:type="dxa" w:w="31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98.76 ± 0.13</w:t>
            </w:r>
          </w:p>
        </w:tc>
        <w:tc>
          <w:tcPr>
            <w:tcW w:type="dxa" w:w="19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随机切分，未去重</w:t>
            </w:r>
          </w:p>
        </w:tc>
      </w:tr>
      <w:tr>
        <w:trPr>
          <w:cantSplit/>
        </w:trPr>
        <w:tc>
          <w:tcPr>
            <w:tcW w:type="dxa" w:w="36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本工作 ResNet50@448+反射填充增广</w:t>
            </w:r>
          </w:p>
        </w:tc>
        <w:tc>
          <w:tcPr>
            <w:tcW w:type="dxa" w:w="5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</w:t>
            </w:r>
          </w:p>
        </w:tc>
        <w:tc>
          <w:tcPr>
            <w:tcW w:type="dxa" w:w="31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99.29 ± 0.56</w:t>
            </w:r>
          </w:p>
        </w:tc>
        <w:tc>
          <w:tcPr>
            <w:tcW w:type="dxa" w:w="19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分组切分，去重</w:t>
            </w:r>
          </w:p>
        </w:tc>
      </w:tr>
      <w:tr>
        <w:trPr>
          <w:cantSplit/>
        </w:trPr>
        <w:tc>
          <w:tcPr>
            <w:tcW w:type="dxa" w:w="36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FGShipNet（Ocean Eng. 318:120079）</w:t>
            </w:r>
          </w:p>
        </w:tc>
        <w:tc>
          <w:tcPr>
            <w:tcW w:type="dxa" w:w="5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2025</w:t>
            </w:r>
          </w:p>
        </w:tc>
        <w:tc>
          <w:tcPr>
            <w:tcW w:type="dxa" w:w="31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98.96</w:t>
            </w:r>
          </w:p>
        </w:tc>
        <w:tc>
          <w:tcPr>
            <w:tcW w:type="dxa" w:w="19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未公开</w:t>
            </w:r>
          </w:p>
        </w:tc>
      </w:tr>
      <w:tr>
        <w:trPr>
          <w:cantSplit/>
        </w:trPr>
        <w:tc>
          <w:tcPr>
            <w:tcW w:type="dxa" w:w="36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MA-Net（Remote Sens. 18(3):462）</w:t>
            </w:r>
          </w:p>
        </w:tc>
        <w:tc>
          <w:tcPr>
            <w:tcW w:type="dxa" w:w="5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</w:t>
            </w:r>
          </w:p>
        </w:tc>
        <w:tc>
          <w:tcPr>
            <w:tcW w:type="dxa" w:w="31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98.40（其 ResNet50 基线 92.26）</w:t>
            </w:r>
          </w:p>
        </w:tc>
        <w:tc>
          <w:tcPr>
            <w:tcW w:type="dxa" w:w="19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未说明</w:t>
            </w:r>
          </w:p>
        </w:tc>
      </w:tr>
      <w:tr>
        <w:trPr>
          <w:cantSplit/>
        </w:trPr>
        <w:tc>
          <w:tcPr>
            <w:tcW w:type="dxa" w:w="36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Cog-Net（IEEE TGRS 62:5608217）</w:t>
            </w:r>
          </w:p>
        </w:tc>
        <w:tc>
          <w:tcPr>
            <w:tcW w:type="dxa" w:w="5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2024</w:t>
            </w:r>
          </w:p>
        </w:tc>
        <w:tc>
          <w:tcPr>
            <w:tcW w:type="dxa" w:w="31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98.09（转引自 MA-Net）</w:t>
            </w:r>
          </w:p>
        </w:tc>
        <w:tc>
          <w:tcPr>
            <w:tcW w:type="dxa" w:w="19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未核实</w:t>
            </w:r>
          </w:p>
        </w:tc>
      </w:tr>
      <w:tr>
        <w:trPr>
          <w:cantSplit/>
        </w:trPr>
        <w:tc>
          <w:tcPr>
            <w:tcW w:type="dxa" w:w="36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P2Net（IEEE TGRS 60:4707916）</w:t>
            </w:r>
          </w:p>
        </w:tc>
        <w:tc>
          <w:tcPr>
            <w:tcW w:type="dxa" w:w="5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2022</w:t>
            </w:r>
          </w:p>
        </w:tc>
        <w:tc>
          <w:tcPr>
            <w:tcW w:type="dxa" w:w="31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94.19（AA，对应全类 MPC）</w:t>
            </w:r>
          </w:p>
        </w:tc>
        <w:tc>
          <w:tcPr>
            <w:tcW w:type="dxa" w:w="195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3:1:1 随机</w:t>
            </w:r>
          </w:p>
        </w:tc>
      </w:tr>
      <w:tr>
        <w:trPr>
          <w:cantSplit/>
        </w:trPr>
        <w:tc>
          <w:tcPr>
            <w:tcW w:type="dxa" w:w="36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原数据集论文（Remote Sens. 13(4):747）</w:t>
            </w:r>
          </w:p>
        </w:tc>
        <w:tc>
          <w:tcPr>
            <w:tcW w:type="dxa" w:w="5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2021</w:t>
            </w:r>
          </w:p>
        </w:tc>
        <w:tc>
          <w:tcPr>
            <w:tcW w:type="dxa" w:w="31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TASN 93.51；ResNet-50 87.24</w:t>
            </w:r>
          </w:p>
        </w:tc>
        <w:tc>
          <w:tcPr>
            <w:tcW w:type="dxa" w:w="1950"/>
            <w:shd w:fill="F2F5F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50/50 随机；含副本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6"/>
          <w:szCs w:val="26"/>
        </w:rPr>
        <w:t xml:space="preserve">六、局限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只在 FGSCR-42 上做了完整训练实验，且是 7,778 张的发布版；MTARSI-fixed 只做了审计，未做训练验证；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去重只到像素级近重复，语义近重复（同一艘船不同时相）需要 embedding 相似度另测，残余泄漏 1.7%–6.6% 是下界；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test 约 1,500 张、尾类 1–4 张，全类 MPC 的分辨力受限；3 个种子下模块效应与切分效应尚未完全分开；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未复现任何已发表方法；ConvNeXt / CB-CE 与反射填充增广的组合未测；</w:t>
      </w:r>
    </w:p>
    <w:p>
      <w:pPr>
        <w:pStyle w:val="ListParagraph"/>
        <w:numPr>
          <w:ilvl w:val="0"/>
          <w:numId w:val="4"/>
        </w:numPr>
        <w:spacing w:after="3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选 epoch 用的是 val 全类 MPC，而它受 1–2 张图的尾类主导，会选中偶然的 epoch（ViT seed 0、L2r seed 2）；下一步改用支撑≥5 MPC 或 top-1 选 epoch，或并列报告收敛值。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A5F"/>
          <w:sz w:val="26"/>
          <w:szCs w:val="26"/>
        </w:rPr>
        <w:t xml:space="preserve">七、下一步计划（建议，供老师取舍）</w:t>
      </w:r>
    </w:p>
    <w:p>
      <w:pPr>
        <w:pStyle w:val="ListParagraph"/>
        <w:numPr>
          <w:ilvl w:val="0"/>
          <w:numId w:val="5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在分组切分下复现一个公开实现（P2Net 有代码），约 2 周。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把第五节的“相关”变成“证据”。</w:t>
      </w:r>
    </w:p>
    <w:p>
      <w:pPr>
        <w:pStyle w:val="ListParagraph"/>
        <w:numPr>
          <w:ilvl w:val="0"/>
          <w:numId w:val="5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把 ConvNeXt-Tiny、CB-CE 与反射填充增广组合，约 3 GPU 小时。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补全阶梯里缺的那一格。</w:t>
      </w:r>
    </w:p>
    <w:p>
      <w:pPr>
        <w:pStyle w:val="ListParagraph"/>
        <w:numPr>
          <w:ilvl w:val="0"/>
          <w:numId w:val="5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第二个数据集的同款审计 + DINOv2 语义近重复检查，约 1–2 周。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回答“是不是只有 FGSCR-42 这样”。</w:t>
      </w:r>
    </w:p>
    <w:p>
      <w:pPr>
        <w:pStyle w:val="ListParagraph"/>
        <w:numPr>
          <w:ilvl w:val="0"/>
          <w:numId w:val="5"/>
        </w:numPr>
        <w:spacing w:after="30" w:before="0" w:line="258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若老师认可扩展到检测：接入 HRSC2016 / ShipRSImageNet，先审计再做两阶段方案，约 1–2 个月。</w:t>
      </w:r>
    </w:p>
    <w:p>
      <w:pPr>
        <w:spacing w:after="60" w:before="0" w:line="25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拟 3 周后再汇报前三项的结果。</w:t>
      </w:r>
    </w:p>
    <w:p>
      <w:pPr>
        <w:spacing w:after="10" w:before="60" w:lin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6"/>
          <w:szCs w:val="16"/>
        </w:rPr>
        <w:t xml:space="preserve">附：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6"/>
          <w:szCs w:val="16"/>
        </w:rPr>
        <w:t xml:space="preserve">代码、30 个单元测试、全部配置 / 日志 / 指标 / 混淆矩阵已开源：github.com/The-Walls/remote-sensing-fgvc（权重文件除外）。环境 Python 3.14 / PyTorch 2.11 / timm 1.0.27，单卡 RTX 5090 D。</w:t>
      </w:r>
    </w:p>
    <w:p>
      <w:pPr>
        <w:spacing w:after="0" w:before="0" w:lin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6"/>
          <w:szCs w:val="16"/>
        </w:rPr>
        <w:t xml:space="preserve">参考文献：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6"/>
          <w:szCs w:val="16"/>
        </w:rPr>
        <w:t xml:space="preserve">[1] Di Y, Jiang Z, Zhang H. A public dataset for fine-grained ship classification in optical remote sensing images. Remote Sensing, 2021, 13(4): 747. [2] Qi et al. MA-Net. Remote Sensing, 2026, 18(3): 462. [3] Chen et al. Ship fine-grained classification network based on multi-scale feature fusion. Ocean Engineering, 2025, 318: 120079. [4] Xiong et al. Cog-Net. IEEE TGRS, 2024, 62: 5608217. [5] Chen et al. Contrastive learning for fine-grained ship classification in remote sensing images (P2Net). IEEE TGRS, 2022, 60: 4707916.</w:t>
      </w:r>
    </w:p>
    <w:sectPr>
      <w:footerReference w:type="default" r:id="rId7"/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line="25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50" w:before="150"/>
      <w:outlineLvl w:val="0"/>
    </w:pPr>
    <w:rPr>
      <w:rFonts w:ascii="Microsoft YaHei" w:cs="Microsoft YaHei" w:eastAsia="Microsoft YaHei" w:hAnsi="Microsoft YaHe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40" w:before="110"/>
      <w:outlineLvl w:val="1"/>
    </w:pPr>
    <w:rPr>
      <w:rFonts w:ascii="Microsoft YaHei" w:cs="Microsoft YaHei" w:eastAsia="Microsoft YaHei" w:hAnsi="Microsoft YaHe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057ea2c786313f60efb5c1d778f0286495a06d.png"/><Relationship Id="rId9" Type="http://schemas.openxmlformats.org/officeDocument/2006/relationships/image" Target="media/bad7f1dcafc81dcbf32b7556af7b5e21557c6f8d.png"/><Relationship Id="rId10" Type="http://schemas.openxmlformats.org/officeDocument/2006/relationships/image" Target="media/e2c7d93a3f75322fbcf8df9596efbd8d3dc99db8.png"/><Relationship Id="rId11" Type="http://schemas.openxmlformats.org/officeDocument/2006/relationships/image" Target="media/006f20d229c418d0d9713861ca3b427a449afc1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2026-09-07T10:40:13.378Z</dcterms:created>
  <dcterms:modified xsi:type="dcterms:W3CDTF">2026-09-07T10:40:13.378Z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