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B185B">
      <w:pPr>
        <w:autoSpaceDE w:val="0"/>
        <w:autoSpaceDN w:val="0"/>
        <w:adjustRightInd w:val="0"/>
        <w:rPr>
          <w:rFonts w:hint="default" w:ascii="Times New Roman" w:hAnsi="Times New Roman" w:eastAsia="宋体" w:cs="Times New Roman"/>
          <w:b/>
          <w:kern w:val="0"/>
          <w:sz w:val="28"/>
          <w:szCs w:val="32"/>
        </w:rPr>
      </w:pPr>
      <w:r>
        <w:rPr>
          <w:rFonts w:hint="default" w:ascii="Times New Roman" w:hAnsi="Times New Roman" w:eastAsia="宋体" w:cs="Times New Roman"/>
          <w:b/>
          <w:kern w:val="0"/>
          <w:sz w:val="28"/>
          <w:szCs w:val="32"/>
        </w:rPr>
        <w:t>一、选题依据</w:t>
      </w:r>
    </w:p>
    <w:p w14:paraId="2E022DC8">
      <w:pPr>
        <w:autoSpaceDE w:val="0"/>
        <w:autoSpaceDN w:val="0"/>
        <w:adjustRightInd w:val="0"/>
        <w:rPr>
          <w:rFonts w:hint="default" w:ascii="Times New Roman" w:hAnsi="Times New Roman" w:eastAsia="宋体" w:cs="Times New Roman"/>
          <w:kern w:val="0"/>
          <w:sz w:val="24"/>
        </w:rPr>
      </w:pPr>
      <w:r>
        <w:rPr>
          <w:rFonts w:hint="default" w:ascii="Times New Roman" w:hAnsi="Times New Roman" w:eastAsia="宋体" w:cs="Times New Roman"/>
          <w:kern w:val="0"/>
          <w:sz w:val="24"/>
        </w:rPr>
        <w:t>（简述该选题的研究意义和背景，国内外研究概况和发展趋势等）</w:t>
      </w:r>
    </w:p>
    <w:p w14:paraId="6E5E1090">
      <w:pPr>
        <w:widowControl/>
        <w:numPr>
          <w:ilvl w:val="0"/>
          <w:numId w:val="1"/>
        </w:numPr>
        <w:snapToGrid w:val="0"/>
        <w:spacing w:before="156" w:beforeLines="50" w:after="156" w:afterLines="50" w:line="300" w:lineRule="auto"/>
        <w:outlineLvl w:val="0"/>
        <w:rPr>
          <w:rFonts w:hint="default" w:ascii="Times New Roman" w:hAnsi="Times New Roman" w:eastAsia="宋体" w:cs="Times New Roman"/>
          <w:b/>
          <w:kern w:val="0"/>
          <w:sz w:val="24"/>
          <w:szCs w:val="18"/>
        </w:rPr>
      </w:pPr>
      <w:r>
        <w:rPr>
          <w:rFonts w:hint="default" w:ascii="Times New Roman" w:hAnsi="Times New Roman" w:eastAsia="宋体" w:cs="Times New Roman"/>
          <w:b/>
          <w:kern w:val="0"/>
          <w:sz w:val="24"/>
          <w:szCs w:val="18"/>
        </w:rPr>
        <w:t>选题背景及研究意义</w:t>
      </w:r>
    </w:p>
    <w:p w14:paraId="00F519A6">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当前，随着智能终端、自动驾驶、增强现实等新兴领域对高性能成像系统需求的不断提升，光学设计正面临大视场、大光圈、轻量化与高成像质量等多重挑战。传统光学系统设计主要依赖Zemax、Code V等商业软件，采用人工干预下的迭代优化流程。该方法高度依赖设计师经验，初始结构选择对最终性能影响显著，且折射元件与衍射元件通常被割裂设计，难以实现全局最优。尤其在广角或大孔径条件下，系统易产生严重的场曲、彗差和轴外色差，传统校正手段往往效果有限，制约了先进成像系统的进一步发展。</w:t>
      </w:r>
    </w:p>
    <w:p w14:paraId="79D68E15">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在此背景下，端到端可微分光学设计方法</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_Ref1950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[8</w:t>
      </w:r>
      <w:r>
        <w:rPr>
          <w:rFonts w:hint="eastAsia" w:cs="Times New Roman"/>
          <w:kern w:val="0"/>
          <w:sz w:val="24"/>
          <w:vertAlign w:val="superscript"/>
          <w:lang w:val="en-US" w:eastAsia="zh-CN"/>
        </w:rPr>
        <w:t>-</w:t>
      </w:r>
      <w:r>
        <w:rPr>
          <w:rFonts w:hint="default" w:ascii="Times New Roman" w:hAnsi="Times New Roman" w:eastAsia="宋体" w:cs="Times New Roman"/>
          <w:vanish/>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vanish/>
          <w:kern w:val="0"/>
          <w:sz w:val="24"/>
          <w:vertAlign w:val="superscript"/>
          <w:lang w:val="en-US" w:eastAsia="zh-CN"/>
        </w:rPr>
        <w:fldChar w:fldCharType="begin"/>
      </w:r>
      <w:r>
        <w:rPr>
          <w:rFonts w:hint="default" w:ascii="Times New Roman" w:hAnsi="Times New Roman" w:eastAsia="宋体" w:cs="Times New Roman"/>
          <w:vanish/>
          <w:kern w:val="0"/>
          <w:sz w:val="24"/>
          <w:vertAlign w:val="superscript"/>
          <w:lang w:val="en-US" w:eastAsia="zh-CN"/>
        </w:rPr>
        <w:instrText xml:space="preserve"> REF _Ref1957 \r \h </w:instrText>
      </w:r>
      <w:r>
        <w:rPr>
          <w:rFonts w:hint="default" w:ascii="Times New Roman" w:hAnsi="Times New Roman" w:eastAsia="宋体" w:cs="Times New Roman"/>
          <w:vanish/>
          <w:kern w:val="0"/>
          <w:sz w:val="24"/>
          <w:vertAlign w:val="superscript"/>
          <w:lang w:val="en-US" w:eastAsia="zh-CN"/>
        </w:rPr>
        <w:fldChar w:fldCharType="separate"/>
      </w:r>
      <w:r>
        <w:rPr>
          <w:rFonts w:hint="default" w:ascii="Times New Roman" w:hAnsi="Times New Roman" w:eastAsia="宋体" w:cs="Times New Roman"/>
          <w:vanish/>
          <w:kern w:val="0"/>
          <w:sz w:val="24"/>
          <w:vertAlign w:val="superscript"/>
          <w:lang w:val="en-US" w:eastAsia="zh-CN"/>
        </w:rPr>
        <w:t>[9]</w:t>
      </w:r>
      <w:r>
        <w:rPr>
          <w:rFonts w:hint="default" w:ascii="Times New Roman" w:hAnsi="Times New Roman" w:eastAsia="宋体" w:cs="Times New Roman"/>
          <w:vanish/>
          <w:kern w:val="0"/>
          <w:sz w:val="24"/>
          <w:vertAlign w:val="superscript"/>
          <w:lang w:val="en-US" w:eastAsia="zh-CN"/>
        </w:rPr>
        <w:fldChar w:fldCharType="end"/>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_Ref1963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10]</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应运而生，为突破传统设计范式提供了新思路。该方法将物理光学传播过程嵌入自动微分计算框架，直接以最终图像质量（如PSNR、SSIM等）为优化目标，通过梯度反向传播联合调整光学结构参数，实现从“图像到光学”的闭环优化。相较于传统流程，端到端方法具备更高的自动化水平和全局搜索能力，能够探索更广阔的解空间，从而获得性能更优的设计方案。折衍混合光学系统</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_Ref7090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[11]</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因其独特优势成为该方向的重要载体。通过将折射元件的宽光谱透过性与衍射光学元件（Diffractive Optical Element, DOE）的高自由度波前调控能力相结合，可在不增加系统体积的前提下有效校正色差、扩展景深（Extended Depth of Field, EDoF），并提升边缘视场成像质量。然而，现有可微分模型多基于纯几何光学射线追迹或近轴衍射理论，无法准确刻画大角度入射光在DOE表面产生的非傍轴衍射效应。这一建模简化导致off-axis区域的点扩散函数（PSF）预测失真，使得优化结果在真实大视场场景中性能显著下降，严重限制了折衍混合系统在广角成像中的应用潜力。</w:t>
      </w:r>
    </w:p>
    <w:p w14:paraId="65F5429C">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针对光学系统在大视场、大光圈条件下像差校正困难及现有可微分模型物理保真度不足的问题，本课题提出了一种基于可微分射线-波动联合模型的端到端折衍混合光学系统设计方法。该方法通过融合几何射线追迹与菲涅尔波动传播，构建高保真的前向成像模型，并在此基础上建立端到端优化框架，联合优化折射面形与DOE相位分布。</w:t>
      </w:r>
    </w:p>
    <w:p w14:paraId="7EBC5484">
      <w:pPr>
        <w:widowControl/>
        <w:numPr>
          <w:ilvl w:val="0"/>
          <w:numId w:val="1"/>
        </w:numPr>
        <w:snapToGrid w:val="0"/>
        <w:spacing w:before="156" w:beforeLines="50" w:after="156" w:afterLines="50" w:line="300" w:lineRule="auto"/>
        <w:outlineLvl w:val="0"/>
        <w:rPr>
          <w:rFonts w:hint="default" w:ascii="Times New Roman" w:hAnsi="Times New Roman" w:eastAsia="宋体" w:cs="Times New Roman"/>
          <w:b/>
          <w:kern w:val="0"/>
          <w:sz w:val="24"/>
          <w:szCs w:val="18"/>
        </w:rPr>
      </w:pPr>
      <w:r>
        <w:rPr>
          <w:rFonts w:hint="default" w:ascii="Times New Roman" w:hAnsi="Times New Roman" w:eastAsia="宋体" w:cs="Times New Roman"/>
          <w:b/>
          <w:kern w:val="0"/>
          <w:sz w:val="24"/>
          <w:szCs w:val="18"/>
        </w:rPr>
        <w:t>国内外研究现状和发展趋势</w:t>
      </w:r>
    </w:p>
    <w:p w14:paraId="5FEF3A00">
      <w:pPr>
        <w:keepNext w:val="0"/>
        <w:keepLines w:val="0"/>
        <w:pageBreakBefore w:val="0"/>
        <w:widowControl w:val="0"/>
        <w:kinsoku/>
        <w:wordWrap/>
        <w:overflowPunct/>
        <w:topLinePunct w:val="0"/>
        <w:autoSpaceDE/>
        <w:autoSpaceDN/>
        <w:bidi w:val="0"/>
        <w:adjustRightInd/>
        <w:snapToGrid w:val="0"/>
        <w:spacing w:line="440" w:lineRule="exact"/>
        <w:ind w:firstLine="420" w:firstLineChars="0"/>
        <w:textAlignment w:val="auto"/>
        <w:rPr>
          <w:rFonts w:hint="default" w:ascii="Times New Roman" w:hAnsi="Times New Roman" w:eastAsia="宋体" w:cs="Times New Roman"/>
          <w:b/>
          <w:bCs/>
          <w:kern w:val="0"/>
          <w:sz w:val="24"/>
          <w:lang w:val="en-US" w:eastAsia="zh-CN"/>
        </w:rPr>
      </w:pPr>
      <w:r>
        <w:rPr>
          <w:rFonts w:hint="default" w:ascii="Times New Roman" w:hAnsi="Times New Roman" w:eastAsia="宋体" w:cs="Times New Roman"/>
          <w:kern w:val="0"/>
          <w:sz w:val="24"/>
          <w:lang w:val="en-US" w:eastAsia="zh-CN"/>
        </w:rPr>
        <w:t>针对本课题的研究内容，分别从端到端可微分光学设计方法和折衍混合光学系统</w:t>
      </w:r>
      <w:r>
        <w:rPr>
          <w:rFonts w:hint="default" w:ascii="Times New Roman" w:hAnsi="Times New Roman" w:eastAsia="宋体" w:cs="Times New Roman"/>
          <w:b w:val="0"/>
          <w:bCs w:val="0"/>
          <w:kern w:val="0"/>
          <w:sz w:val="24"/>
          <w:lang w:val="en-US" w:eastAsia="zh-CN"/>
        </w:rPr>
        <w:t>设计与应用两个方面对国内外研究现状进行综述</w:t>
      </w:r>
    </w:p>
    <w:p w14:paraId="54130211">
      <w:pPr>
        <w:widowControl/>
        <w:numPr>
          <w:ilvl w:val="0"/>
          <w:numId w:val="0"/>
        </w:numPr>
        <w:snapToGrid w:val="0"/>
        <w:spacing w:before="156" w:beforeLines="50" w:after="156" w:afterLines="50" w:line="300" w:lineRule="auto"/>
        <w:ind w:leftChars="0"/>
        <w:outlineLvl w:val="0"/>
        <w:rPr>
          <w:rFonts w:hint="default" w:ascii="Times New Roman" w:hAnsi="Times New Roman" w:eastAsia="宋体" w:cs="Times New Roman"/>
          <w:b/>
          <w:kern w:val="0"/>
          <w:sz w:val="24"/>
          <w:szCs w:val="18"/>
          <w:lang w:val="en-US" w:eastAsia="zh-CN"/>
        </w:rPr>
      </w:pPr>
      <w:r>
        <w:rPr>
          <w:rFonts w:hint="default" w:ascii="Times New Roman" w:hAnsi="Times New Roman" w:eastAsia="宋体" w:cs="Times New Roman"/>
          <w:b/>
          <w:kern w:val="0"/>
          <w:sz w:val="24"/>
          <w:szCs w:val="18"/>
          <w:lang w:val="en-US" w:eastAsia="zh-CN"/>
        </w:rPr>
        <w:t>2.1 端到端可微分光学设计方法研究现状</w:t>
      </w:r>
    </w:p>
    <w:p w14:paraId="62503DA1">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端到端可微分光学设计</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_Ref1950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[8</w:t>
      </w:r>
      <w:r>
        <w:rPr>
          <w:rFonts w:hint="eastAsia" w:cs="Times New Roman"/>
          <w:kern w:val="0"/>
          <w:sz w:val="24"/>
          <w:vertAlign w:val="superscript"/>
          <w:lang w:val="en-US" w:eastAsia="zh-CN"/>
        </w:rPr>
        <w:t>-</w:t>
      </w:r>
      <w:r>
        <w:rPr>
          <w:rFonts w:hint="default" w:ascii="Times New Roman" w:hAnsi="Times New Roman" w:eastAsia="宋体" w:cs="Times New Roman"/>
          <w:vanish/>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vanish/>
          <w:kern w:val="0"/>
          <w:sz w:val="24"/>
          <w:vertAlign w:val="superscript"/>
          <w:lang w:val="en-US" w:eastAsia="zh-CN"/>
        </w:rPr>
        <w:fldChar w:fldCharType="begin"/>
      </w:r>
      <w:r>
        <w:rPr>
          <w:rFonts w:hint="default" w:ascii="Times New Roman" w:hAnsi="Times New Roman" w:eastAsia="宋体" w:cs="Times New Roman"/>
          <w:vanish/>
          <w:kern w:val="0"/>
          <w:sz w:val="24"/>
          <w:vertAlign w:val="superscript"/>
          <w:lang w:val="en-US" w:eastAsia="zh-CN"/>
        </w:rPr>
        <w:instrText xml:space="preserve"> REF _Ref1957 \r \h </w:instrText>
      </w:r>
      <w:r>
        <w:rPr>
          <w:rFonts w:hint="default" w:ascii="Times New Roman" w:hAnsi="Times New Roman" w:eastAsia="宋体" w:cs="Times New Roman"/>
          <w:vanish/>
          <w:kern w:val="0"/>
          <w:sz w:val="24"/>
          <w:vertAlign w:val="superscript"/>
          <w:lang w:val="en-US" w:eastAsia="zh-CN"/>
        </w:rPr>
        <w:fldChar w:fldCharType="separate"/>
      </w:r>
      <w:r>
        <w:rPr>
          <w:rFonts w:hint="default" w:ascii="Times New Roman" w:hAnsi="Times New Roman" w:eastAsia="宋体" w:cs="Times New Roman"/>
          <w:vanish/>
          <w:kern w:val="0"/>
          <w:sz w:val="24"/>
          <w:vertAlign w:val="superscript"/>
          <w:lang w:val="en-US" w:eastAsia="zh-CN"/>
        </w:rPr>
        <w:t>[9]</w:t>
      </w:r>
      <w:r>
        <w:rPr>
          <w:rFonts w:hint="default" w:ascii="Times New Roman" w:hAnsi="Times New Roman" w:eastAsia="宋体" w:cs="Times New Roman"/>
          <w:vanish/>
          <w:kern w:val="0"/>
          <w:sz w:val="24"/>
          <w:vertAlign w:val="superscript"/>
          <w:lang w:val="en-US" w:eastAsia="zh-CN"/>
        </w:rPr>
        <w:fldChar w:fldCharType="end"/>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_Ref1963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10]</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是近年来计算成像</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_Ref8282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[12</w:t>
      </w:r>
      <w:r>
        <w:rPr>
          <w:rFonts w:hint="default" w:ascii="Times New Roman" w:hAnsi="Times New Roman" w:eastAsia="宋体" w:cs="Times New Roman"/>
          <w:vanish/>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vanish/>
          <w:kern w:val="0"/>
          <w:sz w:val="24"/>
          <w:vertAlign w:val="superscript"/>
          <w:lang w:val="en-US" w:eastAsia="zh-CN"/>
        </w:rPr>
        <w:fldChar w:fldCharType="begin"/>
      </w:r>
      <w:r>
        <w:rPr>
          <w:rFonts w:hint="default" w:ascii="Times New Roman" w:hAnsi="Times New Roman" w:eastAsia="宋体" w:cs="Times New Roman"/>
          <w:vanish/>
          <w:kern w:val="0"/>
          <w:sz w:val="24"/>
          <w:vertAlign w:val="superscript"/>
          <w:lang w:val="en-US" w:eastAsia="zh-CN"/>
        </w:rPr>
        <w:instrText xml:space="preserve"> REF _Ref8285 \r \h </w:instrText>
      </w:r>
      <w:r>
        <w:rPr>
          <w:rFonts w:hint="default" w:ascii="Times New Roman" w:hAnsi="Times New Roman" w:eastAsia="宋体" w:cs="Times New Roman"/>
          <w:vanish/>
          <w:kern w:val="0"/>
          <w:sz w:val="24"/>
          <w:vertAlign w:val="superscript"/>
          <w:lang w:val="en-US" w:eastAsia="zh-CN"/>
        </w:rPr>
        <w:fldChar w:fldCharType="separate"/>
      </w:r>
      <w:r>
        <w:rPr>
          <w:rFonts w:hint="default" w:ascii="Times New Roman" w:hAnsi="Times New Roman" w:eastAsia="宋体" w:cs="Times New Roman"/>
          <w:vanish/>
          <w:kern w:val="0"/>
          <w:sz w:val="24"/>
          <w:vertAlign w:val="superscript"/>
          <w:lang w:val="en-US" w:eastAsia="zh-CN"/>
        </w:rPr>
        <w:t>[13]</w:t>
      </w:r>
      <w:r>
        <w:rPr>
          <w:rFonts w:hint="default" w:ascii="Times New Roman" w:hAnsi="Times New Roman" w:eastAsia="宋体" w:cs="Times New Roman"/>
          <w:vanish/>
          <w:kern w:val="0"/>
          <w:sz w:val="24"/>
          <w:vertAlign w:val="superscript"/>
          <w:lang w:val="en-US" w:eastAsia="zh-CN"/>
        </w:rPr>
        <w:fldChar w:fldCharType="end"/>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_Ref8289 \r \h </w:instrText>
      </w:r>
      <w:r>
        <w:rPr>
          <w:rFonts w:hint="default" w:ascii="Times New Roman" w:hAnsi="Times New Roman" w:eastAsia="宋体" w:cs="Times New Roman"/>
          <w:kern w:val="0"/>
          <w:sz w:val="24"/>
          <w:vertAlign w:val="superscript"/>
          <w:lang w:val="en-US" w:eastAsia="zh-CN"/>
        </w:rPr>
        <w:fldChar w:fldCharType="separate"/>
      </w:r>
      <w:r>
        <w:rPr>
          <w:rFonts w:hint="eastAsia" w:cs="Times New Roman"/>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t>14]</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、计算机图形学</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_Ref8827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[15]</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与光学工程</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_Ref9164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[5]</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深度交叉融合所催生的新兴研究方向。其核心思想在于将完整的物理光学传播过程（包括光线追迹、衍射、像面采样等）构建为一个可微分的计算图，并嵌入自动微分框架（如PyTorch），从而实现以最终图像质量（如PSNR、SSIM或感知损失）为优化目标，直接反向传播梯度以联合调整光学系统结构参数（如曲率、厚度、材料、相位分布等）。该范式打破了传统“先设计光学—后处理图像”的割裂流程，实现了“光学-算法”协同优化，显著提升了设计自动化水平与全局性能上限。</w:t>
      </w:r>
    </w:p>
    <w:p w14:paraId="29662969">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早期研究</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_Ref11097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[16</w:t>
      </w:r>
      <w:r>
        <w:rPr>
          <w:rFonts w:hint="default" w:ascii="Times New Roman" w:hAnsi="Times New Roman" w:eastAsia="宋体" w:cs="Times New Roman"/>
          <w:vanish/>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fldChar w:fldCharType="end"/>
      </w:r>
      <w:r>
        <w:rPr>
          <w:rFonts w:hint="eastAsia" w:cs="Times New Roman"/>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_Ref11103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vanish/>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t>18]</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主要聚焦于纯折射光学系统的端到端建模。研究者通过参数化透镜表面（如偶次非球面、自由曲面），构建可微分射线追迹模块，模拟光线从物空间经多片透镜到达像面的全过程。在此基础上，将传感器接收到的光强分布与目标清晰图像进行比较，定义重建误差作为损失函数，利用梯度下降法迭代更新透镜参数。此类方法在F/4以上、视场角小于30°的温和条件下，能够自动搜索出接近传统设计性能的结构，初步验证了端到端优化的可行性</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_Ref9640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[6]</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然而，其物理模型高度依赖几何光学近似，即假设光沿直线传播、忽略波长依赖性与衍射效应。这一简化在涉及小孔径、短焦距或包含微纳结构（如超表面、DOE）的系统中失效明显，导致仿真结果与实际成像存在显著偏差。</w:t>
      </w:r>
    </w:p>
    <w:p w14:paraId="6BE5908F">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随着对成像保真度要求的提高，研究重点逐步从纯几何模型转向融合波动效应的混合建模。部分学者尝试在射线追迹后引入标量衍射理论，例如通过角谱法（Angular Spectrum Method）或菲涅尔衍射积分计算点扩散函数（PSF），再与理想图像进行卷积以生成模糊图像。另一类方法则直接将PSF建模为可学习核，通过数据驱动方式拟合衍射行为。这些策略在单色光、小视场（&lt;40°）场景下取得了一定成效，能够有效校正轴上像差并提升中心区域成像质量。然而，当系统工作于多波长照明（如RGB三色）或大角度入射（如&gt;50°视场）条件时，上述方法暴露出根本性缺陷：它们</w:t>
      </w:r>
      <w:r>
        <w:rPr>
          <w:rFonts w:hint="eastAsia" w:cs="Times New Roman"/>
          <w:kern w:val="0"/>
          <w:sz w:val="24"/>
          <w:lang w:val="en-US" w:eastAsia="zh-CN"/>
        </w:rPr>
        <w:t>采用近轴光学模型</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_Ref12864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[19</w:t>
      </w:r>
      <w:r>
        <w:rPr>
          <w:rFonts w:hint="eastAsia" w:cs="Times New Roman"/>
          <w:vanish/>
          <w:kern w:val="0"/>
          <w:sz w:val="24"/>
          <w:vertAlign w:val="superscript"/>
          <w:lang w:val="en-US" w:eastAsia="zh-CN"/>
        </w:rPr>
        <w:t>-</w:t>
      </w:r>
      <w:r>
        <w:rPr>
          <w:rFonts w:hint="eastAsia" w:cs="Times New Roman"/>
          <w:kern w:val="0"/>
          <w:sz w:val="24"/>
          <w:vertAlign w:val="superscript"/>
          <w:lang w:val="en-US" w:eastAsia="zh-CN"/>
        </w:rPr>
        <w:fldChar w:fldCharType="end"/>
      </w:r>
      <w:r>
        <w:rPr>
          <w:rFonts w:hint="eastAsia" w:cs="Times New Roman"/>
          <w:kern w:val="0"/>
          <w:sz w:val="24"/>
          <w:vertAlign w:val="superscript"/>
          <w:lang w:val="en-US" w:eastAsia="zh-CN"/>
        </w:rPr>
        <w:t>-</w:t>
      </w:r>
      <w:r>
        <w:rPr>
          <w:rFonts w:hint="eastAsia" w:cs="Times New Roman"/>
          <w:kern w:val="0"/>
          <w:sz w:val="24"/>
          <w:vertAlign w:val="superscript"/>
          <w:lang w:val="en-US" w:eastAsia="zh-CN"/>
        </w:rPr>
        <w:fldChar w:fldCharType="begin"/>
      </w:r>
      <w:r>
        <w:rPr>
          <w:rFonts w:hint="eastAsia" w:cs="Times New Roman"/>
          <w:kern w:val="0"/>
          <w:sz w:val="24"/>
          <w:vertAlign w:val="superscript"/>
          <w:lang w:val="en-US" w:eastAsia="zh-CN"/>
        </w:rPr>
        <w:instrText xml:space="preserve"> REF _Ref12867 \r \h </w:instrText>
      </w:r>
      <w:r>
        <w:rPr>
          <w:rFonts w:hint="eastAsia" w:cs="Times New Roman"/>
          <w:kern w:val="0"/>
          <w:sz w:val="24"/>
          <w:vertAlign w:val="superscript"/>
          <w:lang w:val="en-US" w:eastAsia="zh-CN"/>
        </w:rPr>
        <w:fldChar w:fldCharType="separate"/>
      </w:r>
      <w:r>
        <w:rPr>
          <w:rFonts w:hint="eastAsia" w:cs="Times New Roman"/>
          <w:kern w:val="0"/>
          <w:sz w:val="24"/>
          <w:vertAlign w:val="superscript"/>
          <w:lang w:val="en-US" w:eastAsia="zh-CN"/>
        </w:rPr>
        <w:t>20]</w:t>
      </w:r>
      <w:r>
        <w:rPr>
          <w:rFonts w:hint="eastAsia" w:cs="Times New Roman"/>
          <w:kern w:val="0"/>
          <w:sz w:val="24"/>
          <w:vertAlign w:val="superscript"/>
          <w:lang w:val="en-US" w:eastAsia="zh-CN"/>
        </w:rPr>
        <w:fldChar w:fldCharType="end"/>
      </w:r>
      <w:r>
        <w:rPr>
          <w:rFonts w:hint="eastAsia" w:cs="Times New Roman"/>
          <w:kern w:val="0"/>
          <w:sz w:val="24"/>
          <w:lang w:val="en-US" w:eastAsia="zh-CN"/>
        </w:rPr>
        <w:t>，</w:t>
      </w:r>
      <w:r>
        <w:rPr>
          <w:rFonts w:hint="default" w:ascii="Times New Roman" w:hAnsi="Times New Roman" w:eastAsia="宋体" w:cs="Times New Roman"/>
          <w:kern w:val="0"/>
          <w:sz w:val="24"/>
          <w:lang w:val="en-US" w:eastAsia="zh-CN"/>
        </w:rPr>
        <w:t>通常假设衍射发生在傍轴近似下，且未显式建模光线入射角、偏振态与衍射面局部几何之间的耦合关系。因此，在off-axis区域，尤其是图像四角，PSF预测严重失真，导致优化后的系统在真实测试中边缘模糊、色彩溢出等问题突出。</w:t>
      </w:r>
    </w:p>
    <w:p w14:paraId="69CA75F6">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特别地，当光学系统包含衍射光学元件（DOE）时，传统波动模型的局限性进一步放大。DOE通过空间变化的微结构对入射波前施加相位调制，其效能高度依赖于入射角与局部相位梯度的匹配。在大视场下，off-axis光线以倾斜角度入射至DOE边缘区域，若仍采用基于平面波或傍轴假设的衍射模型，将无法准确计算非均匀相位延迟所引发的高阶衍射效应，造成相位调制失真。这种建模误差会通过端到端训练被“固化”进优化结果，使得即使仿真指标良好，实际成像性能仍远低于预期。</w:t>
      </w:r>
    </w:p>
    <w:p w14:paraId="02137818">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为应对上述挑战，近年来</w:t>
      </w:r>
      <w:r>
        <w:rPr>
          <w:rFonts w:hint="eastAsia" w:cs="Times New Roman"/>
          <w:kern w:val="0"/>
          <w:sz w:val="24"/>
          <w:lang w:val="en-US" w:eastAsia="zh-CN"/>
        </w:rPr>
        <w:t>研究者提出可微分光线追踪</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_Ref1950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[8</w:t>
      </w:r>
      <w:r>
        <w:rPr>
          <w:rFonts w:hint="eastAsia" w:cs="Times New Roman"/>
          <w:kern w:val="0"/>
          <w:sz w:val="24"/>
          <w:vertAlign w:val="superscript"/>
          <w:lang w:val="en-US" w:eastAsia="zh-CN"/>
        </w:rPr>
        <w:t>-</w:t>
      </w:r>
      <w:r>
        <w:rPr>
          <w:rFonts w:hint="default" w:ascii="Times New Roman" w:hAnsi="Times New Roman" w:eastAsia="宋体" w:cs="Times New Roman"/>
          <w:vanish/>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vanish/>
          <w:kern w:val="0"/>
          <w:sz w:val="24"/>
          <w:vertAlign w:val="superscript"/>
          <w:lang w:val="en-US" w:eastAsia="zh-CN"/>
        </w:rPr>
        <w:fldChar w:fldCharType="begin"/>
      </w:r>
      <w:r>
        <w:rPr>
          <w:rFonts w:hint="default" w:ascii="Times New Roman" w:hAnsi="Times New Roman" w:eastAsia="宋体" w:cs="Times New Roman"/>
          <w:vanish/>
          <w:kern w:val="0"/>
          <w:sz w:val="24"/>
          <w:vertAlign w:val="superscript"/>
          <w:lang w:val="en-US" w:eastAsia="zh-CN"/>
        </w:rPr>
        <w:instrText xml:space="preserve"> REF _Ref1957 \r \h </w:instrText>
      </w:r>
      <w:r>
        <w:rPr>
          <w:rFonts w:hint="default" w:ascii="Times New Roman" w:hAnsi="Times New Roman" w:eastAsia="宋体" w:cs="Times New Roman"/>
          <w:vanish/>
          <w:kern w:val="0"/>
          <w:sz w:val="24"/>
          <w:vertAlign w:val="superscript"/>
          <w:lang w:val="en-US" w:eastAsia="zh-CN"/>
        </w:rPr>
        <w:fldChar w:fldCharType="separate"/>
      </w:r>
      <w:r>
        <w:rPr>
          <w:rFonts w:hint="default" w:ascii="Times New Roman" w:hAnsi="Times New Roman" w:eastAsia="宋体" w:cs="Times New Roman"/>
          <w:vanish/>
          <w:kern w:val="0"/>
          <w:sz w:val="24"/>
          <w:vertAlign w:val="superscript"/>
          <w:lang w:val="en-US" w:eastAsia="zh-CN"/>
        </w:rPr>
        <w:t>[9]</w:t>
      </w:r>
      <w:r>
        <w:rPr>
          <w:rFonts w:hint="default" w:ascii="Times New Roman" w:hAnsi="Times New Roman" w:eastAsia="宋体" w:cs="Times New Roman"/>
          <w:vanish/>
          <w:kern w:val="0"/>
          <w:sz w:val="24"/>
          <w:vertAlign w:val="superscript"/>
          <w:lang w:val="en-US" w:eastAsia="zh-CN"/>
        </w:rPr>
        <w:fldChar w:fldCharType="end"/>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_Ref1963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10]</w:t>
      </w:r>
      <w:r>
        <w:rPr>
          <w:rFonts w:hint="default" w:ascii="Times New Roman" w:hAnsi="Times New Roman" w:eastAsia="宋体" w:cs="Times New Roman"/>
          <w:kern w:val="0"/>
          <w:sz w:val="24"/>
          <w:vertAlign w:val="superscript"/>
          <w:lang w:val="en-US" w:eastAsia="zh-CN"/>
        </w:rPr>
        <w:fldChar w:fldCharType="end"/>
      </w:r>
      <w:r>
        <w:rPr>
          <w:rFonts w:hint="eastAsia" w:cs="Times New Roman"/>
          <w:kern w:val="0"/>
          <w:sz w:val="24"/>
          <w:lang w:val="en-US" w:eastAsia="zh-CN"/>
        </w:rPr>
        <w:t>，这是一种广泛应用于折射透镜模拟的方法，并可通过将衍射表面近似为局部光栅，进而扩展至衍射表面的模拟，</w:t>
      </w:r>
      <w:r>
        <w:rPr>
          <w:rFonts w:hint="default" w:ascii="Times New Roman" w:hAnsi="Times New Roman" w:eastAsia="宋体" w:cs="Times New Roman"/>
          <w:kern w:val="0"/>
          <w:sz w:val="24"/>
          <w:lang w:val="en-US" w:eastAsia="zh-CN"/>
        </w:rPr>
        <w:t>研究者</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_Ref11743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[1]</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开始探索射线-波动混合建模范式（Ray-Wave Hybrid Modeling）。该方法首先利用可微分射线追迹精确计算每条光线在折射系统中的传播路径及到达DOE表面的位置与方向；随后，以该局部入射条件为边界，调用菲涅尔或角谱衍射模型进行波动传播，从而更真实地模拟非傍轴光线经过DOE后的波前演化。通过将整个流程构建为端到端可微分管道，不仅保留了几何光学的计算效率，又引入了波动光学的物理保真度，显著提升了大视场、宽光圈条件下的成像仿真精度。实验表明，此类混合模型在80°以上视场角下仍能保持对off-axis PSF的高精度预测，为高性能折衍混合系统的自动设计奠定了坚实基础。</w:t>
      </w:r>
    </w:p>
    <w:p w14:paraId="05D4D776">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当前，端到端可微分光学设计正朝着三个关键方向深化发展：</w:t>
      </w:r>
      <w:r>
        <w:rPr>
          <w:rFonts w:hint="default" w:ascii="Times New Roman" w:hAnsi="Times New Roman" w:eastAsia="宋体" w:cs="Times New Roman"/>
          <w:kern w:val="0"/>
          <w:sz w:val="24"/>
          <w:lang w:val="en-US" w:eastAsia="zh-CN"/>
        </w:rPr>
        <w:br w:type="textWrapping"/>
      </w:r>
      <w:r>
        <w:rPr>
          <w:rFonts w:hint="default" w:ascii="Times New Roman" w:hAnsi="Times New Roman" w:eastAsia="宋体" w:cs="Times New Roman"/>
          <w:kern w:val="0"/>
          <w:sz w:val="24"/>
          <w:lang w:val="en-US" w:eastAsia="zh-CN"/>
        </w:rPr>
        <w:t>（1）多波长与全光谱联合优化：从离散RGB波段扩展至连续光谱建模，以支持更真实的色彩还原；</w:t>
      </w:r>
      <w:r>
        <w:rPr>
          <w:rFonts w:hint="default" w:ascii="Times New Roman" w:hAnsi="Times New Roman" w:eastAsia="宋体" w:cs="Times New Roman"/>
          <w:kern w:val="0"/>
          <w:sz w:val="24"/>
          <w:lang w:val="en-US" w:eastAsia="zh-CN"/>
        </w:rPr>
        <w:br w:type="textWrapping"/>
      </w:r>
      <w:r>
        <w:rPr>
          <w:rFonts w:hint="default" w:ascii="Times New Roman" w:hAnsi="Times New Roman" w:eastAsia="宋体" w:cs="Times New Roman"/>
          <w:kern w:val="0"/>
          <w:sz w:val="24"/>
          <w:lang w:val="en-US" w:eastAsia="zh-CN"/>
        </w:rPr>
        <w:t>（2）制造约束嵌入：在优化过程中引入DOE相位量化、最小特征尺寸、曲面加工可行性等工艺限制，提升设计方案的可制造性；</w:t>
      </w:r>
      <w:r>
        <w:rPr>
          <w:rFonts w:hint="default" w:ascii="Times New Roman" w:hAnsi="Times New Roman" w:eastAsia="宋体" w:cs="Times New Roman"/>
          <w:kern w:val="0"/>
          <w:sz w:val="24"/>
          <w:lang w:val="en-US" w:eastAsia="zh-CN"/>
        </w:rPr>
        <w:br w:type="textWrapping"/>
      </w:r>
      <w:r>
        <w:rPr>
          <w:rFonts w:hint="default" w:ascii="Times New Roman" w:hAnsi="Times New Roman" w:eastAsia="宋体" w:cs="Times New Roman"/>
          <w:kern w:val="0"/>
          <w:sz w:val="24"/>
          <w:lang w:val="en-US" w:eastAsia="zh-CN"/>
        </w:rPr>
        <w:t>（3）与神经图像处理协同训练：将光学系统与解卷积网络、超分辨率模块等联合优化，形成“光学编码-算法解码”一体化成像。</w:t>
      </w:r>
    </w:p>
    <w:p w14:paraId="310C936F">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尽管进展显著，该领域在非傍轴衍射的高效可微分建模、多物理场耦合（如热-力-光）、以及大规模系统优化的收敛稳定性等方面仍面临挑战。因此，构建高保真、高效率、高鲁棒性的端到端可微分光学设计框架，仍是当前研究的重要前沿。</w:t>
      </w:r>
    </w:p>
    <w:p w14:paraId="5EC6DA92">
      <w:pPr>
        <w:widowControl/>
        <w:numPr>
          <w:ilvl w:val="0"/>
          <w:numId w:val="0"/>
        </w:numPr>
        <w:snapToGrid w:val="0"/>
        <w:spacing w:before="156" w:beforeLines="50" w:after="156" w:afterLines="50" w:line="300" w:lineRule="auto"/>
        <w:ind w:leftChars="0"/>
        <w:outlineLvl w:val="0"/>
        <w:rPr>
          <w:rFonts w:hint="default" w:ascii="Times New Roman" w:hAnsi="Times New Roman" w:eastAsia="宋体" w:cs="Times New Roman"/>
          <w:b/>
          <w:kern w:val="0"/>
          <w:sz w:val="24"/>
          <w:szCs w:val="18"/>
          <w:lang w:val="en-US" w:eastAsia="zh-CN"/>
        </w:rPr>
      </w:pPr>
      <w:r>
        <w:rPr>
          <w:rFonts w:hint="default" w:ascii="Times New Roman" w:hAnsi="Times New Roman" w:eastAsia="宋体" w:cs="Times New Roman"/>
          <w:b/>
          <w:kern w:val="0"/>
          <w:sz w:val="24"/>
          <w:szCs w:val="18"/>
          <w:lang w:val="en-US" w:eastAsia="zh-CN"/>
        </w:rPr>
        <w:t>2.2 折衍混合光学系统设计与应用研究现状</w:t>
      </w:r>
    </w:p>
    <w:p w14:paraId="415B6A0E">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折衍混合光学系统通过将折射元件与衍射光学元件（Diffractive Optical Element, DOE）有机结合，充分发挥两者互补特性，在色差校正、系统轻量化和功能集成方面展现出显著优势。折射元件具有宽光谱透过性，能够有效传输多种波长光线，而DOE则凭借其高自由度波前调控能力，能够在不增加系统体积的前提下实现复杂的相位调制，用于校正色差</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_Ref17736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[21</w:t>
      </w:r>
      <w:r>
        <w:rPr>
          <w:rFonts w:hint="default" w:ascii="Times New Roman" w:hAnsi="Times New Roman" w:eastAsia="宋体" w:cs="Times New Roman"/>
          <w:vanish/>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_Ref17739 \r \h </w:instrText>
      </w:r>
      <w:r>
        <w:rPr>
          <w:rFonts w:hint="default" w:ascii="Times New Roman" w:hAnsi="Times New Roman" w:eastAsia="宋体" w:cs="Times New Roman"/>
          <w:kern w:val="0"/>
          <w:sz w:val="24"/>
          <w:vertAlign w:val="superscript"/>
          <w:lang w:val="en-US" w:eastAsia="zh-CN"/>
        </w:rPr>
        <w:fldChar w:fldCharType="separate"/>
      </w:r>
      <w:r>
        <w:rPr>
          <w:rFonts w:hint="eastAsia" w:cs="Times New Roman"/>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t>22]</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、扩展景深</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_Ref18389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[23</w:t>
      </w:r>
      <w:r>
        <w:rPr>
          <w:rFonts w:hint="default" w:ascii="Times New Roman" w:hAnsi="Times New Roman" w:eastAsia="宋体" w:cs="Times New Roman"/>
          <w:vanish/>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fldChar w:fldCharType="end"/>
      </w:r>
      <w:r>
        <w:rPr>
          <w:rFonts w:hint="eastAsia" w:cs="Times New Roman"/>
          <w:kern w:val="0"/>
          <w:sz w:val="24"/>
          <w:vertAlign w:val="superscript"/>
          <w:lang w:val="en-US" w:eastAsia="zh-CN"/>
        </w:rPr>
        <w:t>-</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_Ref18395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25]</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（Extended Depth of Field, EDoF）、提高边缘视场成像质量等。因此，折衍混合系统在现代高性能成像设备中逐渐得到广泛应用，成为解决传统纯折射系统难以克服问题的关键技术路径。</w:t>
      </w:r>
    </w:p>
    <w:p w14:paraId="7C50336B">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然而，传统设计流程中，折射部分通常由光学设计师基于经验初始结构进行优化，而DOE则作为后置校正元件，依据近轴理论或残余像差数据单独设计。这种分离式策略虽在中小视场系统中有效，但在大视场、大光圈等严苛条件下，难以协调两者间的耦合效应，导致整体性能受限。具体而言，当系统工作于大视场时，边缘区域光线以较大入射角到达DOE表面，此时若仍采用基于近轴假设的衍射模型，则无法准确计算非均匀相位延迟所引发的高阶衍射效应，造成相位调制失真，从而严重影响成像质量。此外，由于折射与衍射元件被割裂设计，无法全局优化系统参数，容易陷入局部最优解，限制了整体性能提升。</w:t>
      </w:r>
    </w:p>
    <w:p w14:paraId="1F8284FC">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为突破这一瓶颈，国内外学者逐步探索折射与衍射元件的联合优化方法。早期尝试将DOE相位参数纳入全局优化变量，但仍依赖传统的光学评价指标（如RMS spot size、MTF）作为目标函数，未能与最终图像质量形成闭环。尽管这类方法在一定程度上改善了系统性能，但由于缺乏对实际成像效果的直接反馈，优化结果往往偏离实际需求。近年来，随着端到端设计理念的引入，研究者开始构建“光学-算法”联合优化框架：光学系统生成模糊图像，解卷积网络进行重建，损失函数直接反馈至光学参数更新。该范式使设计目标从“最小化像差”转变为“最大化图像质量”，更契合实际应用需求。例如，通过在训练过程中引入感知损失（Perceptual Loss），可以更好地捕捉人眼视觉感知特征，进一步提升重建图像的主观质量</w:t>
      </w:r>
      <w:r>
        <w:rPr>
          <w:rFonts w:hint="default" w:ascii="Times New Roman" w:hAnsi="Times New Roman" w:eastAsia="宋体" w:cs="Times New Roman"/>
          <w:kern w:val="0"/>
          <w:sz w:val="24"/>
          <w:vertAlign w:val="superscript"/>
          <w:lang w:val="en-US" w:eastAsia="zh-CN"/>
        </w:rPr>
        <w:fldChar w:fldCharType="begin"/>
      </w:r>
      <w:r>
        <w:rPr>
          <w:rFonts w:hint="default" w:ascii="Times New Roman" w:hAnsi="Times New Roman" w:eastAsia="宋体" w:cs="Times New Roman"/>
          <w:kern w:val="0"/>
          <w:sz w:val="24"/>
          <w:vertAlign w:val="superscript"/>
          <w:lang w:val="en-US" w:eastAsia="zh-CN"/>
        </w:rPr>
        <w:instrText xml:space="preserve"> REF _Ref24032 \r \h </w:instrText>
      </w:r>
      <w:r>
        <w:rPr>
          <w:rFonts w:hint="default" w:ascii="Times New Roman" w:hAnsi="Times New Roman" w:eastAsia="宋体" w:cs="Times New Roman"/>
          <w:kern w:val="0"/>
          <w:sz w:val="24"/>
          <w:vertAlign w:val="superscript"/>
          <w:lang w:val="en-US" w:eastAsia="zh-CN"/>
        </w:rPr>
        <w:fldChar w:fldCharType="separate"/>
      </w:r>
      <w:r>
        <w:rPr>
          <w:rFonts w:hint="default" w:ascii="Times New Roman" w:hAnsi="Times New Roman" w:eastAsia="宋体" w:cs="Times New Roman"/>
          <w:kern w:val="0"/>
          <w:sz w:val="24"/>
          <w:vertAlign w:val="superscript"/>
          <w:lang w:val="en-US" w:eastAsia="zh-CN"/>
        </w:rPr>
        <w:t>[7]</w:t>
      </w:r>
      <w:r>
        <w:rPr>
          <w:rFonts w:hint="default" w:ascii="Times New Roman" w:hAnsi="Times New Roman" w:eastAsia="宋体" w:cs="Times New Roman"/>
          <w:kern w:val="0"/>
          <w:sz w:val="24"/>
          <w:vertAlign w:val="superscript"/>
          <w:lang w:val="en-US" w:eastAsia="zh-CN"/>
        </w:rPr>
        <w:fldChar w:fldCharType="end"/>
      </w:r>
      <w:r>
        <w:rPr>
          <w:rFonts w:hint="default" w:ascii="Times New Roman" w:hAnsi="Times New Roman" w:eastAsia="宋体" w:cs="Times New Roman"/>
          <w:kern w:val="0"/>
          <w:sz w:val="24"/>
          <w:lang w:val="en-US" w:eastAsia="zh-CN"/>
        </w:rPr>
        <w:t>。此外，利用深度学习中的多任务学习机制，可以在同一优化框架内同时考虑多个优化目标（如清晰度、色彩还原度、噪声抑制等），实现更加全面的设计优化。</w:t>
      </w:r>
    </w:p>
    <w:p w14:paraId="24B08C32">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当前，折衍混合系统已在手机潜望镜头、车载广角摄像头等领域实现初步应用，并展现出广阔的应用前景。例如，在手机潜望镜头中，通过引入DOE，可以在不增加模块厚度的前提下实现长焦距拍摄，有效解决了传统折叠式光学结构带来的体积问题；在车载广角摄像头中，折衍混合系统能够显著改善边缘视场成像质量，提供更广阔的视野范围，有助于提升自动驾驶系统的环境感知能力。未来，随着相关技术的不断进步，折衍混合系统将进一步向超大视场、全光谱成像、动态可调谐等方向拓展。其中，超大视场成像对于全景监控、虚拟现实等领域具有重要意义，但同时也对系统设计提出了更高要求；全光谱成像则有望突破现有RGB三色成像模式的局限，实现更真实的色彩还原与信息获取；动态可调谐DOE则可以通过电控方式实时改变相位分布，为变焦、自动对焦等功能提供新的实现途径。</w:t>
      </w:r>
    </w:p>
    <w:p w14:paraId="13E1161F">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综上所述，尽管端到端可微分光学设计与折衍混合系统研究已取得显著进展，但在大视场非傍轴衍射建模、折射-衍射协同优化机制、以及制造可行性与成像性能的权衡等方面仍存在诸多挑战。例如，在大视场条件下，如何准确模拟非傍轴光线经过DOE后的复杂衍射行为，是提升仿真精度的关键所在；在折射-衍射协同优化过程中，如何有效处理两者之间的相互作用，避免因局部优化而导致的整体性能下降，也是亟待解决的问题之一；而在制造环节，如何在保证成像性能的前提下，尽可能简化制造工艺、降低生产成本，同样是实现大规模商业化应用的重要前提。为此，本课题拟构建一种融合射线追迹与波动传播的高保真可微分模型，系统开展折衍混合光学系统的端到端设计与性能评估，以期为高性能成像系统提供新的设计范式。</w:t>
      </w:r>
    </w:p>
    <w:p w14:paraId="01434DC1">
      <w:pPr>
        <w:autoSpaceDE w:val="0"/>
        <w:autoSpaceDN w:val="0"/>
        <w:adjustRightInd w:val="0"/>
        <w:snapToGrid w:val="0"/>
        <w:spacing w:line="300" w:lineRule="auto"/>
        <w:rPr>
          <w:rFonts w:hint="eastAsia" w:ascii="宋体" w:hAnsi="宋体"/>
          <w:b/>
          <w:kern w:val="0"/>
          <w:sz w:val="28"/>
          <w:szCs w:val="32"/>
        </w:rPr>
      </w:pPr>
      <w:r>
        <w:rPr>
          <w:rFonts w:hint="eastAsia" w:ascii="宋体" w:hAnsi="宋体"/>
          <w:b/>
          <w:kern w:val="0"/>
          <w:sz w:val="28"/>
          <w:szCs w:val="32"/>
        </w:rPr>
        <w:t>二、研究目标和内容</w:t>
      </w:r>
    </w:p>
    <w:p w14:paraId="0D2E083B">
      <w:pPr>
        <w:widowControl/>
        <w:numPr>
          <w:ilvl w:val="0"/>
          <w:numId w:val="0"/>
        </w:numPr>
        <w:snapToGrid w:val="0"/>
        <w:spacing w:before="156" w:beforeLines="50" w:after="156" w:afterLines="50" w:line="300" w:lineRule="auto"/>
        <w:ind w:leftChars="0"/>
        <w:outlineLvl w:val="0"/>
        <w:rPr>
          <w:rFonts w:hint="default" w:ascii="Times New Roman" w:hAnsi="Times New Roman" w:eastAsia="宋体" w:cs="Times New Roman"/>
          <w:b/>
          <w:kern w:val="0"/>
          <w:sz w:val="24"/>
          <w:szCs w:val="18"/>
          <w:lang w:val="en-US" w:eastAsia="zh-CN"/>
        </w:rPr>
      </w:pPr>
      <w:r>
        <w:rPr>
          <w:rFonts w:hint="default" w:ascii="Times New Roman" w:hAnsi="Times New Roman" w:eastAsia="宋体" w:cs="Times New Roman"/>
          <w:b/>
          <w:kern w:val="0"/>
          <w:sz w:val="24"/>
          <w:szCs w:val="18"/>
          <w:lang w:val="en-US" w:eastAsia="zh-CN"/>
        </w:rPr>
        <w:t>1. 研究目标</w:t>
      </w:r>
    </w:p>
    <w:p w14:paraId="340B2B79">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本课题旨在面向大视场、高成像质量的光学系统设计需求，构建一套高保真、可微分的端到端折衍混合光学设计方法。通过融合几何射线追迹与菲涅尔波动传播，建立能够准确刻画非傍轴衍射效应的前向成像模型，并在此基础上实现折射面形与衍射相位的联合优化</w:t>
      </w:r>
      <w:r>
        <w:rPr>
          <w:rFonts w:hint="eastAsia" w:ascii="Times New Roman" w:hAnsi="Times New Roman" w:eastAsia="宋体" w:cs="Times New Roman"/>
          <w:kern w:val="0"/>
          <w:sz w:val="24"/>
          <w:lang w:val="en-US" w:eastAsia="zh-CN"/>
        </w:rPr>
        <w:t>。</w:t>
      </w:r>
    </w:p>
    <w:p w14:paraId="07821126">
      <w:pPr>
        <w:widowControl/>
        <w:numPr>
          <w:ilvl w:val="0"/>
          <w:numId w:val="0"/>
        </w:numPr>
        <w:snapToGrid w:val="0"/>
        <w:spacing w:before="156" w:beforeLines="50" w:after="156" w:afterLines="50" w:line="300" w:lineRule="auto"/>
        <w:ind w:leftChars="0"/>
        <w:outlineLvl w:val="0"/>
        <w:rPr>
          <w:rFonts w:hint="default" w:ascii="Times New Roman" w:hAnsi="Times New Roman" w:eastAsia="宋体" w:cs="Times New Roman"/>
          <w:b/>
          <w:kern w:val="0"/>
          <w:sz w:val="24"/>
          <w:szCs w:val="18"/>
          <w:lang w:val="en-US" w:eastAsia="zh-CN"/>
        </w:rPr>
      </w:pPr>
      <w:r>
        <w:rPr>
          <w:rFonts w:hint="default" w:ascii="Times New Roman" w:hAnsi="Times New Roman" w:eastAsia="宋体" w:cs="Times New Roman"/>
          <w:b/>
          <w:kern w:val="0"/>
          <w:sz w:val="24"/>
          <w:szCs w:val="18"/>
          <w:lang w:val="en-US" w:eastAsia="zh-CN"/>
        </w:rPr>
        <w:t>2. 研究内容</w:t>
      </w:r>
    </w:p>
    <w:p w14:paraId="74D3D792">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为实现上述目标，本课题将开展以下研究工作：</w:t>
      </w:r>
    </w:p>
    <w:p w14:paraId="24AA96F6">
      <w:pPr>
        <w:keepNext w:val="0"/>
        <w:keepLines w:val="0"/>
        <w:pageBreakBefore w:val="0"/>
        <w:widowControl w:val="0"/>
        <w:kinsoku/>
        <w:wordWrap/>
        <w:overflowPunct/>
        <w:topLinePunct w:val="0"/>
        <w:autoSpaceDE/>
        <w:autoSpaceDN/>
        <w:bidi w:val="0"/>
        <w:adjustRightInd/>
        <w:snapToGrid w:val="0"/>
        <w:spacing w:line="440" w:lineRule="exact"/>
        <w:ind w:firstLine="420" w:firstLineChars="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（1）可微分光学建模基础研究</w:t>
      </w:r>
      <w:r>
        <w:rPr>
          <w:rFonts w:hint="default" w:ascii="Times New Roman" w:hAnsi="Times New Roman" w:eastAsia="宋体" w:cs="Times New Roman"/>
          <w:kern w:val="0"/>
          <w:sz w:val="24"/>
          <w:lang w:val="en-US" w:eastAsia="zh-CN"/>
        </w:rPr>
        <w:br w:type="textWrapping"/>
      </w:r>
      <w:r>
        <w:rPr>
          <w:rFonts w:hint="eastAsia" w:cs="Times New Roman"/>
          <w:kern w:val="0"/>
          <w:sz w:val="24"/>
          <w:lang w:val="en-US" w:eastAsia="zh-CN"/>
        </w:rPr>
        <w:tab/>
      </w:r>
      <w:r>
        <w:rPr>
          <w:rFonts w:hint="default" w:ascii="Times New Roman" w:hAnsi="Times New Roman" w:eastAsia="宋体" w:cs="Times New Roman"/>
          <w:kern w:val="0"/>
          <w:sz w:val="24"/>
          <w:lang w:val="en-US" w:eastAsia="zh-CN"/>
        </w:rPr>
        <w:t>系统学习几何光学与衍射光学基本理论，掌握射线追迹、菲涅尔衍射、点扩散函数（PSF）计算等核心算法。调研自动微分框架（如PyTorch）在物理仿真中的应用，构建可微分射线追迹模块，支持透镜曲率、厚度等参数的梯度反传。</w:t>
      </w:r>
    </w:p>
    <w:p w14:paraId="623FB7B5">
      <w:pPr>
        <w:keepNext w:val="0"/>
        <w:keepLines w:val="0"/>
        <w:pageBreakBefore w:val="0"/>
        <w:widowControl w:val="0"/>
        <w:kinsoku/>
        <w:wordWrap/>
        <w:overflowPunct/>
        <w:topLinePunct w:val="0"/>
        <w:autoSpaceDE/>
        <w:autoSpaceDN/>
        <w:bidi w:val="0"/>
        <w:adjustRightInd/>
        <w:snapToGrid w:val="0"/>
        <w:spacing w:line="440" w:lineRule="exact"/>
        <w:ind w:firstLine="420" w:firstLineChars="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（2）纯折射系统端到端设计与实现</w:t>
      </w:r>
      <w:r>
        <w:rPr>
          <w:rFonts w:hint="default" w:ascii="Times New Roman" w:hAnsi="Times New Roman" w:eastAsia="宋体" w:cs="Times New Roman"/>
          <w:kern w:val="0"/>
          <w:sz w:val="24"/>
          <w:lang w:val="en-US" w:eastAsia="zh-CN"/>
        </w:rPr>
        <w:br w:type="textWrapping"/>
      </w:r>
      <w:r>
        <w:rPr>
          <w:rFonts w:hint="eastAsia" w:cs="Times New Roman"/>
          <w:kern w:val="0"/>
          <w:sz w:val="24"/>
          <w:lang w:val="en-US" w:eastAsia="zh-CN"/>
        </w:rPr>
        <w:tab/>
      </w:r>
      <w:r>
        <w:rPr>
          <w:rFonts w:hint="default" w:ascii="Times New Roman" w:hAnsi="Times New Roman" w:eastAsia="宋体" w:cs="Times New Roman"/>
          <w:kern w:val="0"/>
          <w:sz w:val="24"/>
          <w:lang w:val="en-US" w:eastAsia="zh-CN"/>
        </w:rPr>
        <w:t>选取典型成像任务，搭建端到端优化流程：以图像重建误差（L1 + SSIM）为损失函数，联合优化多片非球面透镜参数。通过仿真生成测试图像集，评估系统在轴上与轴外区域的成像性能，建立可靠的性能基线。</w:t>
      </w:r>
    </w:p>
    <w:p w14:paraId="5450A3E4">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（3）折衍混合系统联合优化框架构建</w:t>
      </w:r>
      <w:r>
        <w:rPr>
          <w:rFonts w:hint="default" w:ascii="Times New Roman" w:hAnsi="Times New Roman" w:eastAsia="宋体" w:cs="Times New Roman"/>
          <w:kern w:val="0"/>
          <w:sz w:val="24"/>
          <w:lang w:val="en-US" w:eastAsia="zh-CN"/>
        </w:rPr>
        <w:br w:type="textWrapping"/>
      </w:r>
      <w:r>
        <w:rPr>
          <w:rFonts w:hint="eastAsia" w:cs="Times New Roman"/>
          <w:kern w:val="0"/>
          <w:sz w:val="24"/>
          <w:lang w:val="en-US" w:eastAsia="zh-CN"/>
        </w:rPr>
        <w:tab/>
      </w:r>
      <w:r>
        <w:rPr>
          <w:rFonts w:hint="default" w:ascii="Times New Roman" w:hAnsi="Times New Roman" w:eastAsia="宋体" w:cs="Times New Roman"/>
          <w:kern w:val="0"/>
          <w:sz w:val="24"/>
          <w:lang w:val="en-US" w:eastAsia="zh-CN"/>
        </w:rPr>
        <w:t>在纯折射结构基础上，引入位于最后一片透镜表面的DOE相位面，其相位分布φ(x, y)表示为高分辨率可学习网格。构建射线-波动混合前向模型：先通过可微分射线追迹计算光线到达DOE的位置与方向，再调用菲涅尔衍射传播至传感器平面，合成多波长PSF。将该过程嵌入端到端训练循环，实现折射面与DOE相位的联合优化。</w:t>
      </w:r>
    </w:p>
    <w:p w14:paraId="69E7B836">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（4）性能对比与拓展实验分析</w:t>
      </w:r>
      <w:r>
        <w:rPr>
          <w:rFonts w:hint="default" w:ascii="Times New Roman" w:hAnsi="Times New Roman" w:eastAsia="宋体" w:cs="Times New Roman"/>
          <w:kern w:val="0"/>
          <w:sz w:val="24"/>
          <w:lang w:val="en-US" w:eastAsia="zh-CN"/>
        </w:rPr>
        <w:br w:type="textWrapping"/>
      </w:r>
      <w:r>
        <w:rPr>
          <w:rFonts w:hint="eastAsia" w:cs="Times New Roman"/>
          <w:kern w:val="0"/>
          <w:sz w:val="24"/>
          <w:lang w:val="en-US" w:eastAsia="zh-CN"/>
        </w:rPr>
        <w:tab/>
      </w:r>
      <w:r>
        <w:rPr>
          <w:rFonts w:hint="default" w:ascii="Times New Roman" w:hAnsi="Times New Roman" w:eastAsia="宋体" w:cs="Times New Roman"/>
          <w:kern w:val="0"/>
          <w:sz w:val="24"/>
          <w:lang w:val="en-US" w:eastAsia="zh-CN"/>
        </w:rPr>
        <w:t>在相同任务设定下，对比纯折射与折衍混合系统的定量指标（PSNR、SSIM、1-LPIPS、平均RMS spot size）及重建图像质量，重点分析off-axis区域的改善效果。进一步设置更具挑战性的任务，验证折衍系统在极端条件下的有效性，并探讨DOE在补偿高阶像差中的作用机制。</w:t>
      </w:r>
    </w:p>
    <w:p w14:paraId="60E16D14">
      <w:pPr>
        <w:widowControl/>
        <w:numPr>
          <w:ilvl w:val="0"/>
          <w:numId w:val="0"/>
        </w:numPr>
        <w:snapToGrid w:val="0"/>
        <w:spacing w:before="156" w:beforeLines="50" w:after="156" w:afterLines="50" w:line="300" w:lineRule="auto"/>
        <w:ind w:leftChars="0"/>
        <w:outlineLvl w:val="0"/>
        <w:rPr>
          <w:rFonts w:hint="default" w:ascii="Times New Roman" w:hAnsi="Times New Roman" w:eastAsia="宋体" w:cs="Times New Roman"/>
          <w:b/>
          <w:kern w:val="0"/>
          <w:sz w:val="24"/>
          <w:szCs w:val="18"/>
          <w:lang w:val="en-US" w:eastAsia="zh-CN"/>
        </w:rPr>
      </w:pPr>
      <w:r>
        <w:rPr>
          <w:rFonts w:hint="eastAsia" w:ascii="Times New Roman" w:hAnsi="Times New Roman" w:eastAsia="宋体" w:cs="Times New Roman"/>
          <w:b/>
          <w:kern w:val="0"/>
          <w:sz w:val="24"/>
          <w:szCs w:val="18"/>
          <w:lang w:val="en-US" w:eastAsia="zh-CN"/>
        </w:rPr>
        <w:t>3、</w:t>
      </w:r>
      <w:r>
        <w:rPr>
          <w:rFonts w:hint="default" w:ascii="Times New Roman" w:hAnsi="Times New Roman" w:eastAsia="宋体" w:cs="Times New Roman"/>
          <w:b/>
          <w:kern w:val="0"/>
          <w:sz w:val="24"/>
          <w:szCs w:val="18"/>
          <w:lang w:val="en-US" w:eastAsia="zh-CN"/>
        </w:rPr>
        <w:t>关键问题</w:t>
      </w:r>
    </w:p>
    <w:p w14:paraId="18D6B0D7">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（1）大视场下非傍轴衍射效应的高精度可微分建模问题</w:t>
      </w:r>
      <w:r>
        <w:rPr>
          <w:rFonts w:hint="default" w:ascii="Times New Roman" w:hAnsi="Times New Roman" w:eastAsia="宋体" w:cs="Times New Roman"/>
          <w:kern w:val="0"/>
          <w:sz w:val="24"/>
          <w:lang w:val="en-US" w:eastAsia="zh-CN"/>
        </w:rPr>
        <w:br w:type="textWrapping"/>
      </w:r>
      <w:r>
        <w:rPr>
          <w:rFonts w:hint="eastAsia" w:cs="Times New Roman"/>
          <w:kern w:val="0"/>
          <w:sz w:val="24"/>
          <w:lang w:val="en-US" w:eastAsia="zh-CN"/>
        </w:rPr>
        <w:tab/>
      </w:r>
      <w:r>
        <w:rPr>
          <w:rFonts w:hint="default" w:ascii="Times New Roman" w:hAnsi="Times New Roman" w:eastAsia="宋体" w:cs="Times New Roman"/>
          <w:kern w:val="0"/>
          <w:sz w:val="24"/>
          <w:lang w:val="en-US" w:eastAsia="zh-CN"/>
        </w:rPr>
        <w:t>传统可微分光学模型多基于几何光学或近轴衍射假设，在大视场（&gt;50°）条件下无法准确刻画off-axis光线以倾斜角度入射至衍射光学元件（DOE）时产生的复杂波前调制。如何在保证计算效率的前提下，构建一个融合射线追迹与菲涅尔波动传播的高保真、全程可微分前向成像模型，精确模拟非傍轴光线经过DOE后的衍射行为，是确保优化结果物理真实性的首要挑战。</w:t>
      </w:r>
    </w:p>
    <w:p w14:paraId="6E2D3480">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（2）折射面形与衍射相位的协同优化机制问题</w:t>
      </w:r>
      <w:r>
        <w:rPr>
          <w:rFonts w:hint="default" w:ascii="Times New Roman" w:hAnsi="Times New Roman" w:eastAsia="宋体" w:cs="Times New Roman"/>
          <w:kern w:val="0"/>
          <w:sz w:val="24"/>
          <w:lang w:val="en-US" w:eastAsia="zh-CN"/>
        </w:rPr>
        <w:br w:type="textWrapping"/>
      </w:r>
      <w:r>
        <w:rPr>
          <w:rFonts w:hint="eastAsia" w:cs="Times New Roman"/>
          <w:kern w:val="0"/>
          <w:sz w:val="24"/>
          <w:lang w:val="en-US" w:eastAsia="zh-CN"/>
        </w:rPr>
        <w:tab/>
      </w:r>
      <w:r>
        <w:rPr>
          <w:rFonts w:hint="default" w:ascii="Times New Roman" w:hAnsi="Times New Roman" w:eastAsia="宋体" w:cs="Times New Roman"/>
          <w:kern w:val="0"/>
          <w:sz w:val="24"/>
          <w:lang w:val="en-US" w:eastAsia="zh-CN"/>
        </w:rPr>
        <w:t>折射元件与衍射元件在光学功能上高度耦合，其参数空间存在强非线性交互。若仅单独优化DOE或采用简单联合训练，易导致优化过程不稳定或陷入局部最优。如何设计合理的参数初始化策略、损失函数权重分配及梯度协调机制，使折射面承担低频像差校正、DOE专注高频残余像差补偿，实现两者优势互补、协同进化，是提升系统整体性能的核心难点。</w:t>
      </w:r>
    </w:p>
    <w:p w14:paraId="3ADE407B">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（3）端到端优化在极限光学指标下的收敛性与泛化能力问题</w:t>
      </w:r>
      <w:r>
        <w:rPr>
          <w:rFonts w:hint="default" w:ascii="Times New Roman" w:hAnsi="Times New Roman" w:eastAsia="宋体" w:cs="Times New Roman"/>
          <w:kern w:val="0"/>
          <w:sz w:val="24"/>
          <w:lang w:val="en-US" w:eastAsia="zh-CN"/>
        </w:rPr>
        <w:br w:type="textWrapping"/>
      </w:r>
      <w:r>
        <w:rPr>
          <w:rFonts w:hint="eastAsia" w:cs="Times New Roman"/>
          <w:kern w:val="0"/>
          <w:sz w:val="24"/>
          <w:lang w:val="en-US" w:eastAsia="zh-CN"/>
        </w:rPr>
        <w:tab/>
      </w:r>
      <w:r>
        <w:rPr>
          <w:rFonts w:hint="default" w:ascii="Times New Roman" w:hAnsi="Times New Roman" w:eastAsia="宋体" w:cs="Times New Roman"/>
          <w:kern w:val="0"/>
          <w:sz w:val="24"/>
          <w:lang w:val="en-US" w:eastAsia="zh-CN"/>
        </w:rPr>
        <w:t>当系统工作于更严苛的条件时，像差急剧增大，光学参数搜索空间高度非凸，极易导致优化过程发散或收敛至无效解（如透镜自交、DOE相位震荡）。如何通过课程式学习（Curriculum Learning）、多尺度采样或正则化约束等策略，提升端到端框架在极限任务下的训练稳定性，并确保优化所得结构在未见场景（如不同深度、不同内容图像）中仍具备良好成像泛化能力，是验证方法鲁棒性与实用价值的关键所在。</w:t>
      </w:r>
    </w:p>
    <w:p w14:paraId="21C264B0">
      <w:pPr>
        <w:autoSpaceDE w:val="0"/>
        <w:autoSpaceDN w:val="0"/>
        <w:adjustRightInd w:val="0"/>
        <w:snapToGrid w:val="0"/>
        <w:spacing w:line="300" w:lineRule="auto"/>
        <w:rPr>
          <w:rFonts w:hint="eastAsia" w:ascii="宋体" w:hAnsi="宋体"/>
          <w:b/>
          <w:kern w:val="0"/>
          <w:sz w:val="28"/>
          <w:szCs w:val="32"/>
        </w:rPr>
      </w:pPr>
      <w:r>
        <w:rPr>
          <w:rFonts w:hint="eastAsia" w:ascii="宋体" w:hAnsi="宋体"/>
          <w:b/>
          <w:kern w:val="0"/>
          <w:sz w:val="28"/>
          <w:szCs w:val="32"/>
        </w:rPr>
        <w:t>三、研究方案</w:t>
      </w:r>
    </w:p>
    <w:p w14:paraId="68A8E40A">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本课题围绕端到端可微分折衍混合光学系统设计中的高保真建模与协同优化问题展开深入研究，总体技术路线如下图1所示。首先，对几何光学射线追迹、菲涅尔衍射传播及多波长成像等物理过程进行系统性建模，构建一个融合射线路径计算与波动效应的可微分前向成像模型，并在此基础上搭建基于PyTorch或JAX的端到端仿真平台。其次，选取典型大视场成像任务，完成纯折射光学系统的端到端优化，生成性能可靠的基线结果，用于后续对比分析。随后，引入位于末片透镜表面的衍射光学元件（DOE），将其相位分布作为可学习参数，构建折射-衍射联合优化框架，通过端到端训练实现两者参数的协同更新，从而提升系统整体成像质量。最后，通过主实验与拓展实验对所提方法进行全面验证：一方面，在相同任务下定量对比纯折射与折衍混合系统的重建图像质量（PSNR、SSIM等）及光学指标（RMS spot size），分析DOE对大视场像差的补偿能力；另一方面，挑战更严苛的光学条件，评估折衍混合架构在极限场景下的收敛性与鲁棒性，验证其相较于传统纯折射设计的优越性与适用边界。</w:t>
      </w:r>
    </w:p>
    <w:p w14:paraId="62FFDB5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drawing>
          <wp:inline distT="0" distB="0" distL="114300" distR="114300">
            <wp:extent cx="2717800" cy="2879725"/>
            <wp:effectExtent l="0" t="0" r="10160" b="635"/>
            <wp:docPr id="3" name="图片 3" descr="技术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技术方案"/>
                    <pic:cNvPicPr>
                      <a:picLocks noChangeAspect="1"/>
                    </pic:cNvPicPr>
                  </pic:nvPicPr>
                  <pic:blipFill>
                    <a:blip r:embed="rId4"/>
                    <a:stretch>
                      <a:fillRect/>
                    </a:stretch>
                  </pic:blipFill>
                  <pic:spPr>
                    <a:xfrm>
                      <a:off x="0" y="0"/>
                      <a:ext cx="2717800" cy="2879725"/>
                    </a:xfrm>
                    <a:prstGeom prst="rect">
                      <a:avLst/>
                    </a:prstGeom>
                  </pic:spPr>
                </pic:pic>
              </a:graphicData>
            </a:graphic>
          </wp:inline>
        </w:drawing>
      </w:r>
    </w:p>
    <w:p w14:paraId="1EFCEF98">
      <w:pPr>
        <w:snapToGrid w:val="0"/>
        <w:spacing w:line="300" w:lineRule="auto"/>
        <w:jc w:val="center"/>
        <w:rPr>
          <w:bCs/>
          <w:kern w:val="0"/>
          <w:szCs w:val="11"/>
        </w:rPr>
      </w:pPr>
      <w:r>
        <w:rPr>
          <w:rFonts w:hint="eastAsia"/>
          <w:bCs/>
          <w:kern w:val="0"/>
          <w:szCs w:val="11"/>
        </w:rPr>
        <w:t>图1 总体技术路线</w:t>
      </w:r>
    </w:p>
    <w:p w14:paraId="4CBA3091">
      <w:pPr>
        <w:widowControl/>
        <w:numPr>
          <w:ilvl w:val="0"/>
          <w:numId w:val="0"/>
        </w:numPr>
        <w:snapToGrid w:val="0"/>
        <w:spacing w:before="156" w:beforeLines="50" w:after="156" w:afterLines="50" w:line="300" w:lineRule="auto"/>
        <w:ind w:leftChars="0"/>
        <w:outlineLvl w:val="0"/>
        <w:rPr>
          <w:rFonts w:hint="eastAsia" w:ascii="Times New Roman" w:hAnsi="Times New Roman" w:eastAsia="宋体" w:cs="Times New Roman"/>
          <w:b/>
          <w:kern w:val="0"/>
          <w:sz w:val="24"/>
          <w:szCs w:val="18"/>
          <w:lang w:val="en-US" w:eastAsia="zh-CN"/>
        </w:rPr>
      </w:pPr>
      <w:r>
        <w:rPr>
          <w:rFonts w:hint="eastAsia" w:cs="Times New Roman"/>
          <w:b/>
          <w:kern w:val="0"/>
          <w:sz w:val="24"/>
          <w:szCs w:val="18"/>
          <w:lang w:val="en-US" w:eastAsia="zh-CN"/>
        </w:rPr>
        <w:t>1、</w:t>
      </w:r>
      <w:r>
        <w:rPr>
          <w:rFonts w:hint="eastAsia" w:ascii="Times New Roman" w:hAnsi="Times New Roman" w:eastAsia="宋体" w:cs="Times New Roman"/>
          <w:b/>
          <w:kern w:val="0"/>
          <w:sz w:val="24"/>
          <w:szCs w:val="18"/>
          <w:lang w:val="en-US" w:eastAsia="zh-CN"/>
        </w:rPr>
        <w:t>可微分光学建模</w:t>
      </w:r>
    </w:p>
    <w:p w14:paraId="5CAA49D9">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0"/>
        <w:jc w:val="both"/>
        <w:textAlignment w:val="auto"/>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 xml:space="preserve">本课题的可微分光学建模工作以几何光学射线追迹与标量衍射理论为基础，旨在构建一个既能高效计算光路、又能准确刻画衍射效应的高保真前向成像模型。具体而言，系统首先采用偶次非球面对折射透镜表面进行参数化，其面形方程可表示为： </w:t>
      </w:r>
    </w:p>
    <w:p w14:paraId="2593B139">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cs="Times New Roman"/>
          <w:i/>
          <w:position w:val="-36"/>
          <w:sz w:val="24"/>
          <w:szCs w:val="24"/>
        </w:rPr>
        <w:object>
          <v:shape id="_x0000_i1025" o:spt="75" type="#_x0000_t75" style="height:39pt;width:175pt;" o:ole="t" filled="f" o:preferrelative="t" stroked="f" coordsize="21600,21600">
            <v:path/>
            <v:fill on="f" focussize="0,0"/>
            <v:stroke on="f"/>
            <v:imagedata r:id="rId6" o:title=""/>
            <o:lock v:ext="edit" aspectratio="t"/>
            <w10:wrap type="none"/>
            <w10:anchorlock/>
          </v:shape>
          <o:OLEObject Type="Embed" ProgID="DSEquations" ShapeID="_x0000_i1025" DrawAspect="Content" ObjectID="_1468075725" r:id="rId5">
            <o:LockedField>false</o:LockedField>
          </o:OLEObject>
        </w:object>
      </w:r>
    </w:p>
    <w:p w14:paraId="4BE2304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0"/>
        <w:jc w:val="both"/>
        <w:textAlignment w:val="auto"/>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其中 (c) 为曲率，(k) 为圆锥常数，(</w:t>
      </w:r>
      <w:r>
        <w:rPr>
          <w:rFonts w:hint="default" w:ascii="Times New Roman" w:hAnsi="Times New Roman" w:cs="Times New Roman"/>
          <w:position w:val="-12"/>
          <w:sz w:val="24"/>
          <w:szCs w:val="24"/>
        </w:rPr>
        <w:object>
          <v:shape id="_x0000_i1026" o:spt="75" type="#_x0000_t75" style="height:18pt;width:17pt;" o:ole="t" filled="f" o:preferrelative="t" stroked="f" coordsize="21600,21600">
            <v:path/>
            <v:fill on="f" focussize="0,0"/>
            <v:stroke on="f"/>
            <v:imagedata r:id="rId8" o:title=""/>
            <o:lock v:ext="edit" aspectratio="t"/>
            <w10:wrap type="none"/>
            <w10:anchorlock/>
          </v:shape>
          <o:OLEObject Type="Embed" ProgID="DSEquations" ShapeID="_x0000_i1026" DrawAspect="Content" ObjectID="_1468075726" r:id="rId7">
            <o:LockedField>false</o:LockedField>
          </o:OLEObject>
        </w:object>
      </w:r>
      <w:r>
        <w:rPr>
          <w:rFonts w:hint="default" w:ascii="Times New Roman" w:hAnsi="Times New Roman" w:cs="Times New Roman"/>
          <w:sz w:val="24"/>
          <w:szCs w:val="24"/>
          <w:lang w:val="en-US" w:eastAsia="zh-CN"/>
        </w:rPr>
        <w:t>)</w:t>
      </w:r>
      <w:r>
        <w:rPr>
          <w:rFonts w:hint="default" w:ascii="Times New Roman" w:hAnsi="Times New Roman" w:cs="Times New Roman"/>
          <w:kern w:val="0"/>
          <w:sz w:val="24"/>
          <w:szCs w:val="24"/>
          <w:lang w:val="en-US" w:eastAsia="zh-CN"/>
        </w:rPr>
        <w:t xml:space="preserve"> 为高阶非球面系数，(</w:t>
      </w:r>
      <w:r>
        <w:rPr>
          <w:rFonts w:hint="default" w:ascii="Times New Roman" w:hAnsi="Times New Roman" w:cs="Times New Roman"/>
          <w:kern w:val="0"/>
          <w:position w:val="-12"/>
          <w:sz w:val="24"/>
          <w:szCs w:val="24"/>
          <w:lang w:val="en-US" w:eastAsia="zh-CN"/>
        </w:rPr>
        <w:object>
          <v:shape id="_x0000_i1027" o:spt="75" type="#_x0000_t75" style="height:22pt;width:64pt;" o:ole="t" filled="f" o:preferrelative="t" stroked="f" coordsize="21600,21600">
            <v:path/>
            <v:fill on="f" focussize="0,0"/>
            <v:stroke on="f"/>
            <v:imagedata r:id="rId10" o:title=""/>
            <o:lock v:ext="edit" aspectratio="t"/>
            <w10:wrap type="none"/>
            <w10:anchorlock/>
          </v:shape>
          <o:OLEObject Type="Embed" ProgID="DSEquations" ShapeID="_x0000_i1027" DrawAspect="Content" ObjectID="_1468075727" r:id="rId9">
            <o:LockedField>false</o:LockedField>
          </o:OLEObject>
        </w:object>
      </w:r>
      <w:r>
        <w:rPr>
          <w:rFonts w:hint="default" w:ascii="Times New Roman" w:hAnsi="Times New Roman" w:cs="Times New Roman"/>
          <w:kern w:val="0"/>
          <w:sz w:val="24"/>
          <w:szCs w:val="24"/>
          <w:lang w:val="en-US" w:eastAsia="zh-CN"/>
        </w:rPr>
        <w:t xml:space="preserve"> ) 为径向坐标。该参数化形式被广泛用于现代光学设计，具备足够的自由度以校正高阶像差。在此基础上，通过可微分射线追迹模拟多波长（如470nm、550nm、650nm）光线从物空间经多片透镜传播至最后一片透镜表面的过程。每条光线的状态由其位置 (</w:t>
      </w:r>
      <w:r>
        <w:rPr>
          <w:rFonts w:hint="default" w:ascii="Times New Roman" w:hAnsi="Times New Roman" w:cs="Times New Roman"/>
          <w:kern w:val="0"/>
          <w:position w:val="-10"/>
          <w:sz w:val="24"/>
          <w:szCs w:val="24"/>
          <w:lang w:val="en-US" w:eastAsia="zh-CN"/>
        </w:rPr>
        <w:object>
          <v:shape id="_x0000_i1028" o:spt="75" type="#_x0000_t75" style="height:18pt;width:34pt;" o:ole="t" filled="f" o:preferrelative="t" stroked="f" coordsize="21600,21600">
            <v:path/>
            <v:fill on="f" focussize="0,0"/>
            <v:stroke on="f"/>
            <v:imagedata r:id="rId12" o:title=""/>
            <o:lock v:ext="edit" aspectratio="t"/>
            <w10:wrap type="none"/>
            <w10:anchorlock/>
          </v:shape>
          <o:OLEObject Type="Embed" ProgID="DSEquations" ShapeID="_x0000_i1028" DrawAspect="Content" ObjectID="_1468075728" r:id="rId11">
            <o:LockedField>false</o:LockedField>
          </o:OLEObject>
        </w:object>
      </w:r>
      <w:r>
        <w:rPr>
          <w:rFonts w:hint="default" w:ascii="Times New Roman" w:hAnsi="Times New Roman" w:cs="Times New Roman"/>
          <w:kern w:val="0"/>
          <w:sz w:val="24"/>
          <w:szCs w:val="24"/>
          <w:lang w:val="en-US" w:eastAsia="zh-CN"/>
        </w:rPr>
        <w:t>) 和方向 (</w:t>
      </w:r>
      <w:r>
        <w:rPr>
          <w:rFonts w:hint="default" w:ascii="Times New Roman" w:hAnsi="Times New Roman" w:cs="Times New Roman"/>
          <w:kern w:val="0"/>
          <w:position w:val="-6"/>
          <w:sz w:val="24"/>
          <w:szCs w:val="24"/>
          <w:lang w:val="en-US" w:eastAsia="zh-CN"/>
        </w:rPr>
        <w:object>
          <v:shape id="_x0000_i1029" o:spt="75" type="#_x0000_t75" style="height:16pt;width:34pt;" o:ole="t" filled="f" o:preferrelative="t" stroked="f" coordsize="21600,21600">
            <v:path/>
            <v:fill on="f" focussize="0,0"/>
            <v:stroke on="f"/>
            <v:imagedata r:id="rId14" o:title=""/>
            <o:lock v:ext="edit" aspectratio="t"/>
            <w10:wrap type="none"/>
            <w10:anchorlock/>
          </v:shape>
          <o:OLEObject Type="Embed" ProgID="DSEquations" ShapeID="_x0000_i1029" DrawAspect="Content" ObjectID="_1468075729" r:id="rId13">
            <o:LockedField>false</o:LockedField>
          </o:OLEObject>
        </w:object>
      </w:r>
      <w:r>
        <w:rPr>
          <w:rFonts w:hint="default" w:ascii="Times New Roman" w:hAnsi="Times New Roman" w:cs="Times New Roman"/>
          <w:kern w:val="0"/>
          <w:sz w:val="24"/>
          <w:szCs w:val="24"/>
          <w:lang w:val="en-US" w:eastAsia="zh-CN"/>
        </w:rPr>
        <w:t xml:space="preserve"> ) 描述，其与非球面的交点通过求解四次方程获得，并利用隐函数求导法则（implicit differentiation）确保交点位置对透镜参数（如 (c, k, </w:t>
      </w:r>
      <w:r>
        <w:rPr>
          <w:rFonts w:hint="default" w:ascii="Times New Roman" w:hAnsi="Times New Roman" w:cs="Times New Roman"/>
          <w:position w:val="-12"/>
          <w:sz w:val="24"/>
          <w:szCs w:val="24"/>
        </w:rPr>
        <w:object>
          <v:shape id="_x0000_i1030" o:spt="75" type="#_x0000_t75" style="height:18pt;width:17pt;" o:ole="t" filled="f" o:preferrelative="t" stroked="f" coordsize="21600,21600">
            <v:path/>
            <v:fill on="f" focussize="0,0"/>
            <v:stroke on="f"/>
            <v:imagedata r:id="rId8" o:title=""/>
            <o:lock v:ext="edit" aspectratio="t"/>
            <w10:wrap type="none"/>
            <w10:anchorlock/>
          </v:shape>
          <o:OLEObject Type="Embed" ProgID="DSEquations" ShapeID="_x0000_i1030" DrawAspect="Content" ObjectID="_1468075730" r:id="rId15">
            <o:LockedField>false</o:LockedField>
          </o:OLEObject>
        </w:object>
      </w:r>
      <w:r>
        <w:rPr>
          <w:rFonts w:hint="default" w:ascii="Times New Roman" w:hAnsi="Times New Roman" w:cs="Times New Roman"/>
          <w:kern w:val="0"/>
          <w:sz w:val="24"/>
          <w:szCs w:val="24"/>
          <w:lang w:val="en-US" w:eastAsia="zh-CN"/>
        </w:rPr>
        <w:t>)）的梯度可传。</w:t>
      </w:r>
    </w:p>
    <w:p w14:paraId="43157E47">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0"/>
        <w:jc w:val="both"/>
        <w:textAlignment w:val="auto"/>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 xml:space="preserve">当光线到达位于末片透镜表面的衍射光学元件（DOE）时，模型切换至波动光学域。DOE的相位调制函数 </w:t>
      </w:r>
      <w:r>
        <w:rPr>
          <w:rFonts w:hint="default" w:ascii="Times New Roman" w:hAnsi="Times New Roman" w:cs="Times New Roman"/>
          <w:kern w:val="0"/>
          <w:position w:val="-10"/>
          <w:sz w:val="24"/>
          <w:szCs w:val="24"/>
          <w:lang w:val="en-US" w:eastAsia="zh-CN"/>
        </w:rPr>
        <w:object>
          <v:shape id="_x0000_i1031" o:spt="75" type="#_x0000_t75" style="height:16pt;width:36pt;" o:ole="t" filled="f" o:preferrelative="t" stroked="f" coordsize="21600,21600">
            <v:path/>
            <v:fill on="f" focussize="0,0"/>
            <v:stroke on="f"/>
            <v:imagedata r:id="rId17" o:title=""/>
            <o:lock v:ext="edit" aspectratio="t"/>
            <w10:wrap type="none"/>
            <w10:anchorlock/>
          </v:shape>
          <o:OLEObject Type="Embed" ProgID="DSEquations" ShapeID="_x0000_i1031" DrawAspect="Content" ObjectID="_1468075731" r:id="rId16">
            <o:LockedField>false</o:LockedField>
          </o:OLEObject>
        </w:object>
      </w:r>
      <w:r>
        <w:rPr>
          <w:rFonts w:hint="default" w:ascii="Times New Roman" w:hAnsi="Times New Roman" w:cs="Times New Roman"/>
          <w:kern w:val="0"/>
          <w:sz w:val="24"/>
          <w:szCs w:val="24"/>
          <w:lang w:val="en-US" w:eastAsia="zh-CN"/>
        </w:rPr>
        <w:t>被离散化为高分辨率网格，每个像素存储一个实值相位延迟。此时，入射光场在DOE局部平面可近似为倾斜平面波，其复振幅为</w:t>
      </w:r>
      <w:r>
        <w:rPr>
          <w:rFonts w:hint="default" w:ascii="Times New Roman" w:hAnsi="Times New Roman" w:cs="Times New Roman"/>
          <w:kern w:val="0"/>
          <w:position w:val="-14"/>
          <w:sz w:val="24"/>
          <w:szCs w:val="24"/>
          <w:lang w:val="en-US" w:eastAsia="zh-CN"/>
        </w:rPr>
        <w:object>
          <v:shape id="_x0000_i1032" o:spt="75" type="#_x0000_t75" style="height:19pt;width:146pt;" o:ole="t" filled="f" o:preferrelative="t" stroked="f" coordsize="21600,21600">
            <v:path/>
            <v:fill on="f" focussize="0,0"/>
            <v:stroke on="f"/>
            <v:imagedata r:id="rId19" o:title=""/>
            <o:lock v:ext="edit" aspectratio="t"/>
            <w10:wrap type="none"/>
            <w10:anchorlock/>
          </v:shape>
          <o:OLEObject Type="Embed" ProgID="DSEquations" ShapeID="_x0000_i1032" DrawAspect="Content" ObjectID="_1468075732" r:id="rId18">
            <o:LockedField>false</o:LockedField>
          </o:OLEObject>
        </w:object>
      </w:r>
      <w:r>
        <w:rPr>
          <w:rFonts w:hint="default" w:ascii="Times New Roman" w:hAnsi="Times New Roman" w:cs="Times New Roman"/>
          <w:kern w:val="0"/>
          <w:sz w:val="24"/>
          <w:szCs w:val="24"/>
          <w:lang w:val="en-US" w:eastAsia="zh-CN"/>
        </w:rPr>
        <w:t xml:space="preserve"> ，其中 </w:t>
      </w:r>
      <w:r>
        <w:rPr>
          <w:rFonts w:hint="default" w:ascii="Times New Roman" w:hAnsi="Times New Roman" w:cs="Times New Roman"/>
          <w:kern w:val="0"/>
          <w:position w:val="-16"/>
          <w:sz w:val="24"/>
          <w:szCs w:val="24"/>
          <w:lang w:val="en-US" w:eastAsia="zh-CN"/>
        </w:rPr>
        <w:object>
          <v:shape id="_x0000_i1033" o:spt="75" type="#_x0000_t75" style="height:22pt;width:42pt;" o:ole="t" filled="f" o:preferrelative="t" stroked="f" coordsize="21600,21600">
            <v:path/>
            <v:fill on="f" focussize="0,0"/>
            <v:stroke on="f"/>
            <v:imagedata r:id="rId21" o:title=""/>
            <o:lock v:ext="edit" aspectratio="t"/>
            <w10:wrap type="none"/>
            <w10:anchorlock/>
          </v:shape>
          <o:OLEObject Type="Embed" ProgID="DSEquations" ShapeID="_x0000_i1033" DrawAspect="Content" ObjectID="_1468075733" r:id="rId20">
            <o:LockedField>false</o:LockedField>
          </o:OLEObject>
        </w:object>
      </w:r>
      <w:r>
        <w:rPr>
          <w:rFonts w:hint="default" w:ascii="Times New Roman" w:hAnsi="Times New Roman" w:cs="Times New Roman"/>
          <w:kern w:val="0"/>
          <w:sz w:val="24"/>
          <w:szCs w:val="24"/>
          <w:lang w:val="en-US" w:eastAsia="zh-CN"/>
        </w:rPr>
        <w:t xml:space="preserve">  由射线追迹所得入射方向决定。经过DOE后，出射光场变为 </w:t>
      </w:r>
      <w:r>
        <w:rPr>
          <w:rFonts w:hint="default" w:ascii="Times New Roman" w:hAnsi="Times New Roman" w:cs="Times New Roman"/>
          <w:kern w:val="0"/>
          <w:position w:val="-12"/>
          <w:sz w:val="24"/>
          <w:szCs w:val="24"/>
          <w:lang w:val="en-US" w:eastAsia="zh-CN"/>
        </w:rPr>
        <w:object>
          <v:shape id="_x0000_i1034" o:spt="75" type="#_x0000_t75" style="height:18pt;width:175.95pt;" o:ole="t" filled="f" o:preferrelative="t" stroked="f" coordsize="21600,21600">
            <v:path/>
            <v:fill on="f" focussize="0,0"/>
            <v:stroke on="f"/>
            <v:imagedata r:id="rId23" o:title=""/>
            <o:lock v:ext="edit" aspectratio="t"/>
            <w10:wrap type="none"/>
            <w10:anchorlock/>
          </v:shape>
          <o:OLEObject Type="Embed" ProgID="DSEquations" ShapeID="_x0000_i1034" DrawAspect="Content" ObjectID="_1468075734" r:id="rId22">
            <o:LockedField>false</o:LockedField>
          </o:OLEObject>
        </w:object>
      </w:r>
      <w:r>
        <w:rPr>
          <w:rFonts w:hint="default" w:ascii="Times New Roman" w:hAnsi="Times New Roman" w:cs="Times New Roman"/>
          <w:kern w:val="0"/>
          <w:sz w:val="24"/>
          <w:szCs w:val="24"/>
          <w:lang w:val="en-US" w:eastAsia="zh-CN"/>
        </w:rPr>
        <w:t xml:space="preserve"> 。随后，采用菲涅尔衍射积分将该光场传播至传感器平面：</w:t>
      </w:r>
    </w:p>
    <w:p w14:paraId="219A73DC">
      <w:pPr>
        <w:pStyle w:val="12"/>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b/>
      </w:r>
      <w:r>
        <w:rPr>
          <w:rFonts w:hint="default" w:ascii="Times New Roman" w:hAnsi="Times New Roman" w:cs="Times New Roman"/>
          <w:position w:val="-28"/>
          <w:sz w:val="24"/>
          <w:szCs w:val="24"/>
          <w:lang w:val="en-US" w:eastAsia="zh-CN"/>
        </w:rPr>
        <w:object>
          <v:shape id="_x0000_i1037" o:spt="75" alt="" type="#_x0000_t75" style="height:35pt;width:308pt;" o:ole="t" filled="f" o:preferrelative="t" stroked="f" coordsize="21600,21600">
            <v:path/>
            <v:fill on="f" focussize="0,0"/>
            <v:stroke on="f"/>
            <v:imagedata r:id="rId25" o:title=""/>
            <o:lock v:ext="edit" aspectratio="t"/>
            <w10:wrap type="none"/>
            <w10:anchorlock/>
          </v:shape>
          <o:OLEObject Type="Embed" ProgID="DSEquations" ShapeID="_x0000_i1037" DrawAspect="Content" ObjectID="_1468075735" r:id="rId24">
            <o:LockedField>false</o:LockedField>
          </o:OLEObject>
        </w:object>
      </w:r>
      <w:r>
        <w:rPr>
          <w:rFonts w:hint="default" w:ascii="Times New Roman" w:hAnsi="Times New Roman" w:cs="Times New Roman"/>
          <w:sz w:val="24"/>
          <w:szCs w:val="24"/>
          <w:lang w:val="en-US" w:eastAsia="zh-CN"/>
        </w:rPr>
        <w:t xml:space="preserve"> </w:t>
      </w:r>
    </w:p>
    <w:p w14:paraId="7622CBD2">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0"/>
        <w:jc w:val="both"/>
        <w:textAlignment w:val="auto"/>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 xml:space="preserve">该积分通过快速傅里叶变换（FFT）高效实现，并在整个传播链中保持对 </w:t>
      </w:r>
      <w:r>
        <w:rPr>
          <w:rFonts w:hint="default" w:ascii="Times New Roman" w:hAnsi="Times New Roman" w:cs="Times New Roman"/>
          <w:kern w:val="0"/>
          <w:position w:val="-10"/>
          <w:sz w:val="24"/>
          <w:szCs w:val="24"/>
          <w:lang w:val="en-US" w:eastAsia="zh-CN"/>
        </w:rPr>
        <w:object>
          <v:shape id="_x0000_i1036" o:spt="75" type="#_x0000_t75" style="height:16pt;width:36pt;" o:ole="t" filled="f" o:preferrelative="t" stroked="f" coordsize="21600,21600">
            <v:path/>
            <v:fill on="f" focussize="0,0"/>
            <v:stroke on="f"/>
            <v:imagedata r:id="rId17" o:title=""/>
            <o:lock v:ext="edit" aspectratio="t"/>
            <w10:wrap type="none"/>
            <w10:anchorlock/>
          </v:shape>
          <o:OLEObject Type="Embed" ProgID="DSEquations" ShapeID="_x0000_i1036" DrawAspect="Content" ObjectID="_1468075736" r:id="rId26">
            <o:LockedField>false</o:LockedField>
          </o:OLEObject>
        </w:object>
      </w:r>
      <w:r>
        <w:rPr>
          <w:rFonts w:hint="default" w:ascii="Times New Roman" w:hAnsi="Times New Roman" w:cs="Times New Roman"/>
          <w:kern w:val="0"/>
          <w:sz w:val="24"/>
          <w:szCs w:val="24"/>
          <w:lang w:val="en-US" w:eastAsia="zh-CN"/>
        </w:rPr>
        <w:t>的可微性。最终，多波长光场在传感器上叠加形成彩色模糊图像，作为端到端训练的输入。</w:t>
      </w:r>
    </w:p>
    <w:p w14:paraId="1FFFA03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0"/>
        <w:jc w:val="both"/>
        <w:textAlignment w:val="auto"/>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为确保整个流程的全程可微分性，所有非解析操作（如光线-曲面求交、PSF采样）均采用可微近似或隐函数求导技术处理。例如，光线与非球面的交点计算虽涉及求根，但可通过自动微分框架中的torch.autograd.functional.jacobian间接获取梯度；而传感器像素上的光强积分则通过双线性插值实现平滑采样，避免不可导的硬采样操作。</w:t>
      </w:r>
    </w:p>
    <w:p w14:paraId="64EE035D">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0"/>
        <w:jc w:val="both"/>
        <w:textAlignment w:val="auto"/>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相较于纯几何光学模型（忽略衍射）或纯傍轴衍射模型（忽略大角度入射效应），本建模方案通过显式耦合射线路径与局部衍射条件，能够更真实地反映off-axis光线在DOE上的非傍轴衍射行为。仿真表明</w:t>
      </w:r>
      <w:r>
        <w:rPr>
          <w:rFonts w:hint="default" w:ascii="Times New Roman" w:hAnsi="Times New Roman" w:cs="Times New Roman"/>
          <w:kern w:val="0"/>
          <w:sz w:val="24"/>
          <w:szCs w:val="24"/>
          <w:vertAlign w:val="superscript"/>
          <w:lang w:val="en-US" w:eastAsia="zh-CN"/>
        </w:rPr>
        <w:fldChar w:fldCharType="begin"/>
      </w:r>
      <w:r>
        <w:rPr>
          <w:rFonts w:hint="default" w:ascii="Times New Roman" w:hAnsi="Times New Roman" w:cs="Times New Roman"/>
          <w:kern w:val="0"/>
          <w:sz w:val="24"/>
          <w:szCs w:val="24"/>
          <w:vertAlign w:val="superscript"/>
          <w:lang w:val="en-US" w:eastAsia="zh-CN"/>
        </w:rPr>
        <w:instrText xml:space="preserve"> REF _Ref11743 \r \h </w:instrText>
      </w:r>
      <w:r>
        <w:rPr>
          <w:rFonts w:hint="default" w:ascii="Times New Roman" w:hAnsi="Times New Roman" w:cs="Times New Roman"/>
          <w:kern w:val="0"/>
          <w:sz w:val="24"/>
          <w:szCs w:val="24"/>
          <w:vertAlign w:val="superscript"/>
          <w:lang w:val="en-US" w:eastAsia="zh-CN"/>
        </w:rPr>
        <w:fldChar w:fldCharType="separate"/>
      </w:r>
      <w:r>
        <w:rPr>
          <w:rFonts w:hint="default" w:ascii="Times New Roman" w:hAnsi="Times New Roman" w:cs="Times New Roman"/>
          <w:kern w:val="0"/>
          <w:sz w:val="24"/>
          <w:szCs w:val="24"/>
          <w:vertAlign w:val="superscript"/>
          <w:lang w:val="en-US" w:eastAsia="zh-CN"/>
        </w:rPr>
        <w:t>[1]</w:t>
      </w:r>
      <w:r>
        <w:rPr>
          <w:rFonts w:hint="default" w:ascii="Times New Roman" w:hAnsi="Times New Roman" w:cs="Times New Roman"/>
          <w:kern w:val="0"/>
          <w:sz w:val="24"/>
          <w:szCs w:val="24"/>
          <w:vertAlign w:val="superscript"/>
          <w:lang w:val="en-US" w:eastAsia="zh-CN"/>
        </w:rPr>
        <w:fldChar w:fldCharType="end"/>
      </w:r>
      <w:r>
        <w:rPr>
          <w:rFonts w:hint="default" w:ascii="Times New Roman" w:hAnsi="Times New Roman" w:cs="Times New Roman"/>
          <w:kern w:val="0"/>
          <w:sz w:val="24"/>
          <w:szCs w:val="24"/>
          <w:lang w:val="en-US" w:eastAsia="zh-CN"/>
        </w:rPr>
        <w:t>，在47.5°视场角下，该模型预测的点扩散函数（PSF）与物理光学仿真软件的结果高度吻合，尤其在图像边缘区域，其能量分布与旁瓣结构的匹配度显著优于传统方法。这一高保真前向模型为后续端到端联合优化提供了可靠的物理基础，是实现高性能折衍混合系统设计的关键前提。</w:t>
      </w:r>
    </w:p>
    <w:p w14:paraId="435AF909">
      <w:pPr>
        <w:widowControl/>
        <w:numPr>
          <w:ilvl w:val="0"/>
          <w:numId w:val="0"/>
        </w:numPr>
        <w:snapToGrid w:val="0"/>
        <w:spacing w:before="156" w:beforeLines="50" w:after="156" w:afterLines="50" w:line="300" w:lineRule="auto"/>
        <w:ind w:leftChars="0"/>
        <w:outlineLvl w:val="0"/>
        <w:rPr>
          <w:rFonts w:hint="eastAsia" w:ascii="Times New Roman" w:hAnsi="Times New Roman" w:eastAsia="宋体" w:cs="Times New Roman"/>
          <w:b/>
          <w:kern w:val="0"/>
          <w:sz w:val="24"/>
          <w:szCs w:val="18"/>
          <w:lang w:val="en-US" w:eastAsia="zh-CN"/>
        </w:rPr>
      </w:pPr>
      <w:r>
        <w:rPr>
          <w:rFonts w:hint="eastAsia" w:cs="Times New Roman"/>
          <w:b/>
          <w:kern w:val="0"/>
          <w:sz w:val="24"/>
          <w:szCs w:val="18"/>
          <w:lang w:val="en-US" w:eastAsia="zh-CN"/>
        </w:rPr>
        <w:t>2、</w:t>
      </w:r>
      <w:r>
        <w:rPr>
          <w:rFonts w:hint="eastAsia" w:ascii="Times New Roman" w:hAnsi="Times New Roman" w:eastAsia="宋体" w:cs="Times New Roman"/>
          <w:b/>
          <w:kern w:val="0"/>
          <w:sz w:val="24"/>
          <w:szCs w:val="18"/>
          <w:lang w:val="en-US" w:eastAsia="zh-CN"/>
        </w:rPr>
        <w:t>纯折射系统端到端设计</w:t>
      </w:r>
    </w:p>
    <w:p w14:paraId="1CE91068">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在完成可微分光学建模平台的搭建后，本课题首先开展纯折射光学系统的端到端设计工作，旨在建立一个可靠的性能基线，为后续折衍混合方案的对比分析提供参照。该阶段的研究对象是由非球面透镜组成的传统折射系统，其结构参数（包括各透镜表面的曲率、圆锥常数以及高阶非球面系数）均作为可学习变量纳入统一的优化框架。选择纯折射系统作为起点，不仅因其在工业界具有广泛的应用基础，更因其物理机制相对清晰、设计流程成熟，便于验证所构建的可微分仿真平台是否具备准确建模与有效优化的能力。同时，通过在典型大视场成像任务下评估其性能极限，能够直观揭示传统折射架构在应对高阶像差（如场曲、彗差、轴外色差等）时的固有局限，从而为引入衍射元件提供明确的问题导向和性能参照。</w:t>
      </w:r>
    </w:p>
    <w:p w14:paraId="66DFF351">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具体实施过程中，研究采用大量真实自然图像作为目标数据集，以模拟复杂多变的实际成像场景。这些图像涵盖了丰富的纹理、边缘、色彩及光照变化，能够有效激发光学系统在不同空间频率下的响应特性。在前向传播阶段，系统将每张目标图像视为理想成像结果，并反向构建对应的物点分布；随后，利用已建立的可微分射线追迹模块，模拟多波长光线从物空间出发，依次穿过各折射透镜并最终到达传感器平面的全过程，生成与当前光学结构相对应的模糊图像。该模糊图像不仅包含了由透镜面形决定的几何像差，也反映了多色光传播过程中的色散效应，是光学系统当前状态的真实输出。</w:t>
      </w:r>
    </w:p>
    <w:p w14:paraId="0E5BA55A">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为进一步实现以最终图像质量为目标的闭环优化，研究引入一个轻量级的图像重建网络，用于对上述模糊图像进行后处理。该网络结构简洁、计算开销低，主要承担去模糊与色彩校正功能，其参数在训练过程中与光学系统参数交替更新。整个端到端训练流程以重建图像与原始目标图像之间的感知差异作为优化目标，通过自动微分机制，将损失信号反向传播至光学系统的所有可调参数，驱动透镜面形的迭代调整。这一过程完全摒弃了传统设计中依赖RMS光斑半径、MTF等中间评价指标的做法，转而直接以人眼或下游视觉任务所关注的图像质量为优化准则，体现了端到端方法的核心优势——即实现从“光学设计”到“成像效果”的直接映射。</w:t>
      </w:r>
    </w:p>
    <w:p w14:paraId="78D6046B">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经过充分训练后，所获得的光学结构即代表了在给定任务约束下，纯折射系统所能达到的最优性能。此时，研究将固定该结构，移除图像重建网络，仅保留前向光学模型，直接评估系统在无算法补偿情况下的原始成像能力。评估重点不仅包括视场中心区域的成像清晰度，更着重考察边缘及角落区域的表现，因为这些区域往往是大视场系统性能退化的关键所在。通过大量测试样本的仿真分析，可以系统性地观察到随着视场角增大，图像逐渐出现模糊、畸变加剧、色彩分离等现象，这正是高阶像差难以被完全校正的直接体现。此类性能瓶颈的存在，一方面验证了纯折射系统在极限光学指标下的物理限制，另一方面也清晰指出了需要额外自由度介入的必要性。</w:t>
      </w:r>
    </w:p>
    <w:p w14:paraId="1CFB7ADB">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综上所述，纯折射系统的端到端设计不仅是对可微分建模平台功能完整性的关键验证，更是整个研究链条中不可或缺的对照环节。它为后续引入衍射光学元件提供了明确的性能基准和问题定义：即在哪些视场区域、针对哪些类型的像差，DOE能够发挥有效的补偿作用。通过这一基线的建立，本课题得以在公平、一致的条件下，科学评估折衍混合架构所带来的性能增益，从而确保研究结论的可靠性与说服力。</w:t>
      </w:r>
    </w:p>
    <w:p w14:paraId="0E10330D">
      <w:pPr>
        <w:widowControl/>
        <w:numPr>
          <w:ilvl w:val="0"/>
          <w:numId w:val="0"/>
        </w:numPr>
        <w:snapToGrid w:val="0"/>
        <w:spacing w:before="156" w:beforeLines="50" w:after="156" w:afterLines="50" w:line="300" w:lineRule="auto"/>
        <w:ind w:leftChars="0"/>
        <w:outlineLvl w:val="0"/>
        <w:rPr>
          <w:rFonts w:hint="eastAsia" w:ascii="Times New Roman" w:hAnsi="Times New Roman" w:eastAsia="宋体" w:cs="Times New Roman"/>
          <w:b/>
          <w:kern w:val="0"/>
          <w:sz w:val="24"/>
          <w:szCs w:val="18"/>
          <w:lang w:val="en-US" w:eastAsia="zh-CN"/>
        </w:rPr>
      </w:pPr>
      <w:r>
        <w:rPr>
          <w:rFonts w:hint="eastAsia" w:cs="Times New Roman"/>
          <w:b/>
          <w:kern w:val="0"/>
          <w:sz w:val="24"/>
          <w:szCs w:val="18"/>
          <w:lang w:val="en-US" w:eastAsia="zh-CN"/>
        </w:rPr>
        <w:t>3、</w:t>
      </w:r>
      <w:r>
        <w:rPr>
          <w:rFonts w:hint="eastAsia" w:ascii="Times New Roman" w:hAnsi="Times New Roman" w:eastAsia="宋体" w:cs="Times New Roman"/>
          <w:b/>
          <w:kern w:val="0"/>
          <w:sz w:val="24"/>
          <w:szCs w:val="18"/>
          <w:lang w:val="en-US" w:eastAsia="zh-CN"/>
        </w:rPr>
        <w:t>折衍混合系统联合优化框架实现</w:t>
      </w:r>
    </w:p>
    <w:p w14:paraId="5D471BDD">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在完成纯折射系统性能基线的构建后，本课题进入核心阶段——折衍混合光学系统的联合优化框架实现。该阶段旨在通过引入衍射光学元件（Diffractive Optical Element, DOE）</w:t>
      </w:r>
      <w:bookmarkStart w:id="20" w:name="_GoBack"/>
      <w:bookmarkEnd w:id="20"/>
      <w:r>
        <w:rPr>
          <w:rFonts w:hint="default" w:ascii="Times New Roman" w:hAnsi="Times New Roman" w:eastAsia="宋体" w:cs="Times New Roman"/>
          <w:kern w:val="0"/>
          <w:sz w:val="24"/>
          <w:lang w:val="en-US" w:eastAsia="zh-CN"/>
        </w:rPr>
        <w:t>，与前端折射透镜协同工作，突破纯折射系统在大视场、大光圈条件下的像差校正瓶颈。与传统设计中将DOE作为后置校正模块的做法不同，本研究采用端到端联合优化策略，将DOE的相位分布与折射透镜的面形参数置于同一优化目标下，实现两者在功能上的深度融合与优势互补。</w:t>
      </w:r>
    </w:p>
    <w:p w14:paraId="35F3B00C">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具体而言，研究在纯折射系统最后一片透镜的表面集成一个连续相位型DOE，其相位调制能力以高分辨率网格形式进行参数化，每个网格点存储一个独立的相位延迟值。该相位分布不再依据残余像差数据预先计算，而是作为可学习变量直接参与端到端训练过程。前向成像模型在此基础上进行扩展：光线首先通过可微分射线追迹模块穿过所有折射透镜，精确计算其到达DOE表面的位置与局部入射方向；随后，基于该局部几何信息，调用波动光学传播模型，模拟光线经过DOE相位调制后的衍射行为，并将衍射光场继续传播至传感器平面，最终合成多波长彩色图像。这一混合建模方式有效融合了几何光学的高效性与波动光学的物理保真度，尤其能够准确刻画大视场下off-axis光线在DOE上的非傍轴衍射效应，为高精度优化奠定基础。</w:t>
      </w:r>
    </w:p>
    <w:p w14:paraId="6F11490A">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在优化机制上，整个折衍混合系统与图像重建网络共同构成一个统一的可微分计算图。损失函数仍以重建图像与目标图像之间的感知差异为核心，但其梯度信号现在可同时反向传播至折射透镜参数与DOE相位分布。通过这种联合更新策略，系统能够自动协调两类元件的功能分工：折射部分主要负责低频像差（如球差、主色差）的全局校正和光能高效传输，而DOE则专注于高频残余像差（如场曲、彗差、轴外色散）的精细补偿。这种协同机制避免了传统分离式设计中因信息割裂而导致的次优解问题，使得整体光学性能得以显著提升。</w:t>
      </w:r>
    </w:p>
    <w:p w14:paraId="72C41B38">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ascii="Times New Roman" w:hAnsi="Times New Roman" w:eastAsia="宋体" w:cs="Times New Roman"/>
          <w:kern w:val="0"/>
          <w:sz w:val="24"/>
          <w:lang w:val="en-US" w:eastAsia="zh-CN"/>
        </w:rPr>
      </w:pPr>
      <w:r>
        <w:rPr>
          <w:rFonts w:hint="default" w:ascii="Times New Roman" w:hAnsi="Times New Roman" w:eastAsia="宋体" w:cs="Times New Roman"/>
          <w:kern w:val="0"/>
          <w:sz w:val="24"/>
          <w:lang w:val="en-US" w:eastAsia="zh-CN"/>
        </w:rPr>
        <w:t>为确保优化过程的稳定性与收敛性，研究在训练策略上采取渐进式调整。初期固定DOE相位为零，仅优化折射结构，使其达到接近基线水平；随后逐步释放DOE参数，使其在已有折射性能基础上进行增量式优化。同时，在损失函数中引入适当的正则项，约束DOE相位的空间平滑性与物理合理性，防止出现高频噪声或不可制造的极端相位跳变。整个训练流程在相同的任务设定下进行，确保与纯折射基线具有完全可比性。</w:t>
      </w:r>
    </w:p>
    <w:p w14:paraId="3F27FAF2">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default" w:cs="Times New Roman"/>
          <w:kern w:val="0"/>
          <w:sz w:val="24"/>
          <w:lang w:val="en-US" w:eastAsia="zh-CN"/>
        </w:rPr>
      </w:pPr>
      <w:r>
        <w:rPr>
          <w:rFonts w:hint="default" w:ascii="Times New Roman" w:hAnsi="Times New Roman" w:eastAsia="宋体" w:cs="Times New Roman"/>
          <w:kern w:val="0"/>
          <w:sz w:val="24"/>
          <w:lang w:val="en-US" w:eastAsia="zh-CN"/>
        </w:rPr>
        <w:t>完成联合优化后，所得折衍混合系统将被冻结并进行独立评估。重点分析其在全视场范围内的成像一致性，特别是边缘区域的清晰度、色彩还原能力及结构保真度是否得到显著改善。通过与纯折射基线的对比，可直观验证DOE在补偿大视场像差方面的有效性，并深入理解折射与衍射元件在功能分配、误差耦合及性能增益等方面的相互作用机制。该联合优化框架不仅体现了本课题的核心创新，也为高性能光学系统的设计提供了一种全新的自动化范式，具有重要的理论意义与</w:t>
      </w:r>
      <w:r>
        <w:rPr>
          <w:rFonts w:hint="default" w:cs="Times New Roman"/>
          <w:kern w:val="0"/>
          <w:sz w:val="24"/>
          <w:lang w:val="en-US" w:eastAsia="zh-CN"/>
        </w:rPr>
        <w:t>工程应用价值。</w:t>
      </w:r>
    </w:p>
    <w:p w14:paraId="7BD3B8B5">
      <w:pPr>
        <w:widowControl/>
        <w:numPr>
          <w:ilvl w:val="0"/>
          <w:numId w:val="0"/>
        </w:numPr>
        <w:snapToGrid w:val="0"/>
        <w:spacing w:before="156" w:beforeLines="50" w:after="156" w:afterLines="50" w:line="300" w:lineRule="auto"/>
        <w:ind w:leftChars="0"/>
        <w:outlineLvl w:val="0"/>
        <w:rPr>
          <w:rFonts w:hint="eastAsia" w:ascii="Times New Roman" w:hAnsi="Times New Roman" w:eastAsia="宋体" w:cs="Times New Roman"/>
          <w:b/>
          <w:kern w:val="0"/>
          <w:sz w:val="24"/>
          <w:szCs w:val="18"/>
          <w:lang w:val="en-US" w:eastAsia="zh-CN"/>
        </w:rPr>
      </w:pPr>
      <w:r>
        <w:rPr>
          <w:rFonts w:hint="eastAsia" w:ascii="Times New Roman" w:hAnsi="Times New Roman" w:eastAsia="宋体" w:cs="Times New Roman"/>
          <w:b/>
          <w:kern w:val="0"/>
          <w:sz w:val="24"/>
          <w:szCs w:val="18"/>
          <w:lang w:val="en-US" w:eastAsia="zh-CN"/>
        </w:rPr>
        <w:t>4、实验仿真</w:t>
      </w:r>
    </w:p>
    <w:p w14:paraId="19CA20E7">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在完成纯折射基线与折衍混合系统的端到端优化后，本课题将开展主实验，旨在通过相同任务条件下的系统性对比，定量评估引入衍射光学元件所带来的性能提升。该实验的核心在于确保公平性与可比性：两套系统均在完全一致的成像任务设定下进行训练与测试，包括相同的视场范围、相对孔径、波长配置、目标图像集以及优化流程。通过这一控制变量的设计，能够有效排除外部因素干扰，将性能差异归因于DOE的引入本身。评估将从光学与图像两个层面展开：在光学层面，重点分析全视场范围内点扩散函数（PSF）的空间分布特性，尤其是边缘视场区域的能量集中度与对称性；在图像层面，则通过大量自然场景的前向仿真，统计重建图像的清晰度、结构保持能力及色彩一致性等主观与客观指标。特别关注off-axis区域是否存在模糊减轻、色边抑制或细节恢复等改善现象。该对比不仅验证了折衍混合架构的有效性，更可揭示DOE在补偿特定类型像差（如场曲、彗差、轴外色散）中的作用机制，为理解折射-衍射协同工作原理提供实证依据。</w:t>
      </w:r>
    </w:p>
    <w:p w14:paraId="2B722D35">
      <w:pPr>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left"/>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为进一步检验所提方法的适用边界与工程潜力，本课题还将开展拓展实验，聚焦于极限光学指标下的鲁棒性验证。在此实验中，研究将显著提升设计难度，设置更具挑战性的任务条件，例如大幅增大相对孔径以逼近物理衍射极限，同时扩展视场角至超广角范围。此类极端配置对光学系统提出极高要求，传统纯折射方案往往因像差急剧恶化而难以收敛或性能严重退化。在此背景下，分别运行纯折射与折衍混合系统的端到端优化流程，观察两者在训练过程中的收敛行为、最终结构的物理合理性以及输出图像的可用性。若折衍混合系统仍能稳定收敛并生成视觉上可接受的成像结果，而纯折射系统出现发散、透镜参数异常或图像质量不可用等情况，则充分证明所构建的联合优化框架在高自由度、强非线性设计空间中具备更强的鲁棒性与适应能力。</w:t>
      </w:r>
    </w:p>
    <w:p w14:paraId="0477AE5D">
      <w:pPr>
        <w:autoSpaceDE w:val="0"/>
        <w:autoSpaceDN w:val="0"/>
        <w:adjustRightInd w:val="0"/>
        <w:snapToGrid w:val="0"/>
        <w:spacing w:line="300" w:lineRule="auto"/>
        <w:rPr>
          <w:rFonts w:hint="eastAsia" w:ascii="宋体" w:hAnsi="宋体"/>
          <w:b/>
          <w:kern w:val="0"/>
          <w:sz w:val="28"/>
          <w:szCs w:val="32"/>
        </w:rPr>
      </w:pPr>
      <w:r>
        <w:rPr>
          <w:rFonts w:hint="eastAsia" w:ascii="宋体" w:hAnsi="宋体"/>
          <w:b/>
          <w:kern w:val="0"/>
          <w:sz w:val="28"/>
          <w:szCs w:val="32"/>
        </w:rPr>
        <w:t>四、研究计划及进度安排</w:t>
      </w:r>
    </w:p>
    <w:p w14:paraId="2A446DAE">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第1–2周：调研、查阅国内外关于可微分光学设计、折衍混合系统及端到端成像优化的相关文献资料，认真阅读并消化理解。翻译指定的外文技术资料，掌握领域最新研究动态与关键技术路线。</w:t>
      </w:r>
    </w:p>
    <w:p w14:paraId="618D39AA">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第3–4周：系统学习几何光学射线追迹、非球面透镜建模及多波长光线传播的基本原理，掌握菲涅尔衍射与标量波动理论的核心概念，为构建高保真前向模型奠定理论基础。</w:t>
      </w:r>
    </w:p>
    <w:p w14:paraId="5C27625F">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第5–6周：基于PyTorch或JAX框架，搭建可微分射线追迹模块，实现非球面透镜参数化与多波长光线追迹功能；集成菲涅尔衍射传播算法，完成从物点→折射系统→传感器的完整光路仿真平台。</w:t>
      </w:r>
    </w:p>
    <w:p w14:paraId="5E44C6FE">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第7–8周：开展纯折射光学系统的端到端设计，完成典型大视场成像任务下的训练与优化，生成性能可靠的基线系统，并对其成像能力进行初步评估。</w:t>
      </w:r>
    </w:p>
    <w:p w14:paraId="2228EACC">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第9–11周：在纯折射结构基础上引入衍射光学元件（DOE），构建射线-波动混合前向模型，实现折射面形与DOE相位的联合优化，完成折衍混合系统的端到端训练。</w:t>
      </w:r>
    </w:p>
    <w:p w14:paraId="039C8FDD">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第12–14周：开展主实验与拓展实验：一方面，在相同任务条件下对比纯折射与折衍混合系统的成像性能；另一方面，挑战更严苛的光学指标（如更大光圈、更广视场），验证所提方法在极限场景下的鲁棒性与有效性。</w:t>
      </w:r>
    </w:p>
    <w:p w14:paraId="4D8FE859">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第15–16周：对整个研究过程与实验结果进行系统总结，整理技术文档，撰写毕业论文，准备毕业设计答辩材料。</w:t>
      </w:r>
    </w:p>
    <w:p w14:paraId="5758C88B">
      <w:pPr>
        <w:autoSpaceDE w:val="0"/>
        <w:autoSpaceDN w:val="0"/>
        <w:adjustRightInd w:val="0"/>
        <w:snapToGrid w:val="0"/>
        <w:spacing w:line="300" w:lineRule="auto"/>
        <w:rPr>
          <w:rFonts w:hint="eastAsia" w:ascii="宋体" w:hAnsi="宋体"/>
          <w:b/>
          <w:kern w:val="0"/>
          <w:sz w:val="28"/>
          <w:szCs w:val="32"/>
        </w:rPr>
      </w:pPr>
      <w:r>
        <w:rPr>
          <w:rFonts w:ascii="宋体" w:hAnsi="宋体"/>
          <w:b/>
          <w:kern w:val="0"/>
          <w:sz w:val="28"/>
          <w:szCs w:val="32"/>
        </w:rPr>
        <w:t>五</w:t>
      </w:r>
      <w:r>
        <w:rPr>
          <w:rFonts w:hint="eastAsia" w:ascii="宋体" w:hAnsi="宋体"/>
          <w:b/>
          <w:kern w:val="0"/>
          <w:sz w:val="28"/>
          <w:szCs w:val="32"/>
        </w:rPr>
        <w:t>、创新点及预期研究成果</w:t>
      </w:r>
    </w:p>
    <w:p w14:paraId="7A97F786">
      <w:pPr>
        <w:widowControl/>
        <w:numPr>
          <w:ilvl w:val="0"/>
          <w:numId w:val="0"/>
        </w:numPr>
        <w:snapToGrid w:val="0"/>
        <w:spacing w:before="156" w:beforeLines="50" w:after="156" w:afterLines="50" w:line="300" w:lineRule="auto"/>
        <w:ind w:leftChars="0"/>
        <w:outlineLvl w:val="0"/>
        <w:rPr>
          <w:rFonts w:hint="eastAsia" w:ascii="Times New Roman" w:hAnsi="Times New Roman" w:eastAsia="宋体" w:cs="Times New Roman"/>
          <w:b/>
          <w:kern w:val="0"/>
          <w:sz w:val="24"/>
          <w:szCs w:val="18"/>
          <w:lang w:val="en-US" w:eastAsia="zh-CN"/>
        </w:rPr>
      </w:pPr>
      <w:r>
        <w:rPr>
          <w:rFonts w:hint="eastAsia" w:ascii="Times New Roman" w:hAnsi="Times New Roman" w:eastAsia="宋体" w:cs="Times New Roman"/>
          <w:b/>
          <w:kern w:val="0"/>
          <w:sz w:val="24"/>
          <w:szCs w:val="18"/>
          <w:lang w:val="en-US" w:eastAsia="zh-CN"/>
        </w:rPr>
        <w:t>1、创新点</w:t>
      </w:r>
    </w:p>
    <w:p w14:paraId="59192D8C">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宋体" w:hAnsi="宋体" w:eastAsia="宋体" w:cs="宋体"/>
          <w:kern w:val="0"/>
          <w:sz w:val="24"/>
          <w:lang w:val="en-US" w:eastAsia="zh-CN"/>
        </w:rPr>
      </w:pPr>
      <w:r>
        <w:rPr>
          <w:rFonts w:hint="eastAsia" w:ascii="宋体" w:hAnsi="宋体" w:eastAsia="宋体" w:cs="宋体"/>
          <w:kern w:val="0"/>
          <w:sz w:val="24"/>
          <w:lang w:val="en-US" w:eastAsia="zh-CN"/>
        </w:rPr>
        <w:t>本课题在端到端光学设计框架下，提出一种融合射线追迹与波动传播的高保真建模方法，并将其应用于折衍混合系统的协同优化，主要创新体现在以下两个方面：</w:t>
      </w:r>
      <w:r>
        <w:rPr>
          <w:rFonts w:hint="eastAsia" w:ascii="宋体" w:hAnsi="宋体" w:eastAsia="宋体" w:cs="宋体"/>
          <w:kern w:val="0"/>
          <w:sz w:val="24"/>
          <w:lang w:val="en-US" w:eastAsia="zh-CN"/>
        </w:rPr>
        <w:br w:type="textWrapping"/>
      </w:r>
      <w:r>
        <w:rPr>
          <w:rFonts w:hint="eastAsia" w:ascii="宋体" w:hAnsi="宋体" w:eastAsia="宋体" w:cs="宋体"/>
          <w:kern w:val="0"/>
          <w:sz w:val="24"/>
          <w:lang w:val="en-US" w:eastAsia="zh-CN"/>
        </w:rPr>
        <w:t>（1）构建了面向大视场成像的可微分射线-波动联合前向模型。</w:t>
      </w:r>
      <w:r>
        <w:rPr>
          <w:rFonts w:hint="eastAsia" w:ascii="宋体" w:hAnsi="宋体" w:eastAsia="宋体" w:cs="宋体"/>
          <w:kern w:val="0"/>
          <w:sz w:val="24"/>
          <w:lang w:val="en-US" w:eastAsia="zh-CN"/>
        </w:rPr>
        <w:br w:type="textWrapping"/>
      </w:r>
      <w:r>
        <w:rPr>
          <w:rFonts w:hint="eastAsia" w:ascii="宋体" w:hAnsi="宋体" w:eastAsia="宋体" w:cs="宋体"/>
          <w:kern w:val="0"/>
          <w:sz w:val="24"/>
          <w:lang w:val="en-US" w:eastAsia="zh-CN"/>
        </w:rPr>
        <w:t>（2）实现了折射面形与衍射相位的端到端协同优化机制。</w:t>
      </w:r>
    </w:p>
    <w:p w14:paraId="1F5ACA6C">
      <w:pPr>
        <w:widowControl/>
        <w:numPr>
          <w:ilvl w:val="0"/>
          <w:numId w:val="0"/>
        </w:numPr>
        <w:snapToGrid w:val="0"/>
        <w:spacing w:before="156" w:beforeLines="50" w:after="156" w:afterLines="50" w:line="300" w:lineRule="auto"/>
        <w:ind w:leftChars="0"/>
        <w:outlineLvl w:val="0"/>
        <w:rPr>
          <w:rFonts w:hint="eastAsia" w:ascii="Times New Roman" w:hAnsi="Times New Roman" w:eastAsia="宋体" w:cs="Times New Roman"/>
          <w:b/>
          <w:kern w:val="0"/>
          <w:sz w:val="24"/>
          <w:szCs w:val="18"/>
          <w:lang w:val="en-US" w:eastAsia="zh-CN"/>
        </w:rPr>
      </w:pPr>
      <w:r>
        <w:rPr>
          <w:rFonts w:hint="eastAsia" w:ascii="Times New Roman" w:hAnsi="Times New Roman" w:eastAsia="宋体" w:cs="Times New Roman"/>
          <w:b/>
          <w:kern w:val="0"/>
          <w:sz w:val="24"/>
          <w:szCs w:val="18"/>
          <w:lang w:val="en-US" w:eastAsia="zh-CN"/>
        </w:rPr>
        <w:t>2、预期研究成果</w:t>
      </w:r>
    </w:p>
    <w:p w14:paraId="573D5C00">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（1）完成一套基于Python的可微分光学建模与仿真平台，支持多波长射线追迹、非球面参数化及菲涅尔衍射传播；</w:t>
      </w:r>
      <w:r>
        <w:rPr>
          <w:rFonts w:hint="eastAsia" w:ascii="Times New Roman" w:hAnsi="Times New Roman" w:eastAsia="宋体" w:cs="Times New Roman"/>
          <w:kern w:val="0"/>
          <w:sz w:val="24"/>
          <w:lang w:val="en-US" w:eastAsia="zh-CN"/>
        </w:rPr>
        <w:br w:type="textWrapping"/>
      </w:r>
      <w:r>
        <w:rPr>
          <w:rFonts w:hint="eastAsia" w:ascii="Times New Roman" w:hAnsi="Times New Roman" w:eastAsia="宋体" w:cs="Times New Roman"/>
          <w:kern w:val="0"/>
          <w:sz w:val="24"/>
          <w:lang w:val="en-US" w:eastAsia="zh-CN"/>
        </w:rPr>
        <w:t>（2）实现纯折射光学系统的端到端设计流程，并生成典型大视场任务下的性能基线；</w:t>
      </w:r>
      <w:r>
        <w:rPr>
          <w:rFonts w:hint="eastAsia" w:ascii="Times New Roman" w:hAnsi="Times New Roman" w:eastAsia="宋体" w:cs="Times New Roman"/>
          <w:kern w:val="0"/>
          <w:sz w:val="24"/>
          <w:lang w:val="en-US" w:eastAsia="zh-CN"/>
        </w:rPr>
        <w:br w:type="textWrapping"/>
      </w:r>
      <w:r>
        <w:rPr>
          <w:rFonts w:hint="eastAsia" w:ascii="Times New Roman" w:hAnsi="Times New Roman" w:eastAsia="宋体" w:cs="Times New Roman"/>
          <w:kern w:val="0"/>
          <w:sz w:val="24"/>
          <w:lang w:val="en-US" w:eastAsia="zh-CN"/>
        </w:rPr>
        <w:t>（3）构建折衍混合光学系统的联合优化框架，完成折射-衍射协同设计，并在相同任务下验证其性能优势；</w:t>
      </w:r>
      <w:r>
        <w:rPr>
          <w:rFonts w:hint="eastAsia" w:ascii="Times New Roman" w:hAnsi="Times New Roman" w:eastAsia="宋体" w:cs="Times New Roman"/>
          <w:kern w:val="0"/>
          <w:sz w:val="24"/>
          <w:lang w:val="en-US" w:eastAsia="zh-CN"/>
        </w:rPr>
        <w:br w:type="textWrapping"/>
      </w:r>
      <w:r>
        <w:rPr>
          <w:rFonts w:hint="eastAsia" w:ascii="Times New Roman" w:hAnsi="Times New Roman" w:eastAsia="宋体" w:cs="Times New Roman"/>
          <w:kern w:val="0"/>
          <w:sz w:val="24"/>
          <w:lang w:val="en-US" w:eastAsia="zh-CN"/>
        </w:rPr>
        <w:t>（4）通过极限光学指标（如大光圈、超广视场）下的拓展实验，评估所提方法的鲁棒性与适用边界；</w:t>
      </w:r>
      <w:r>
        <w:rPr>
          <w:rFonts w:hint="eastAsia" w:ascii="Times New Roman" w:hAnsi="Times New Roman" w:eastAsia="宋体" w:cs="Times New Roman"/>
          <w:kern w:val="0"/>
          <w:sz w:val="24"/>
          <w:lang w:val="en-US" w:eastAsia="zh-CN"/>
        </w:rPr>
        <w:br w:type="textWrapping"/>
      </w:r>
      <w:r>
        <w:rPr>
          <w:rFonts w:hint="eastAsia" w:ascii="Times New Roman" w:hAnsi="Times New Roman" w:eastAsia="宋体" w:cs="Times New Roman"/>
          <w:kern w:val="0"/>
          <w:sz w:val="24"/>
          <w:lang w:val="en-US" w:eastAsia="zh-CN"/>
        </w:rPr>
        <w:t>（5）撰写本科毕业论文1篇，系统总结研究方法、实验过程与技术结论，形成完整的技术文档，为后续高性能成像系统设计提供参考。</w:t>
      </w:r>
    </w:p>
    <w:p w14:paraId="09761BBA">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p>
    <w:p w14:paraId="6B4ADDF5">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p>
    <w:p w14:paraId="317E9C8A">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p>
    <w:p w14:paraId="24F57319">
      <w:pPr>
        <w:autoSpaceDE w:val="0"/>
        <w:autoSpaceDN w:val="0"/>
        <w:adjustRightInd w:val="0"/>
        <w:snapToGrid w:val="0"/>
        <w:spacing w:line="300" w:lineRule="auto"/>
        <w:rPr>
          <w:rFonts w:hint="default" w:ascii="宋体" w:hAnsi="宋体"/>
          <w:b/>
          <w:kern w:val="0"/>
          <w:sz w:val="28"/>
          <w:szCs w:val="32"/>
        </w:rPr>
      </w:pPr>
      <w:r>
        <w:rPr>
          <w:rFonts w:hint="eastAsia" w:ascii="宋体" w:hAnsi="宋体"/>
          <w:b/>
          <w:kern w:val="0"/>
          <w:sz w:val="28"/>
          <w:szCs w:val="32"/>
          <w:lang w:val="en-US" w:eastAsia="zh-CN"/>
        </w:rPr>
        <w:t>六、</w:t>
      </w:r>
      <w:r>
        <w:rPr>
          <w:rFonts w:hint="default" w:ascii="宋体" w:hAnsi="宋体"/>
          <w:b/>
          <w:kern w:val="0"/>
          <w:sz w:val="28"/>
          <w:szCs w:val="32"/>
        </w:rPr>
        <w:t>参考文献</w:t>
      </w:r>
    </w:p>
    <w:p w14:paraId="51753B17">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rPr>
      </w:pPr>
      <w:bookmarkStart w:id="0" w:name="_Ref11743"/>
      <w:r>
        <w:rPr>
          <w:rFonts w:hint="default" w:ascii="Times New Roman" w:hAnsi="Times New Roman" w:eastAsia="宋体" w:cs="Times New Roman"/>
        </w:rPr>
        <w:t>Yang X, Peng Y, Heidrich W, et al. End-to-End Hybrid Refractive-Diffractive Lens Design with Differentiable Ray-Wave Model[C]//ACM SIGGRAPH Asia 2024 Conference Papers. 2024: 1–9.</w:t>
      </w:r>
      <w:bookmarkEnd w:id="0"/>
    </w:p>
    <w:p w14:paraId="7AFC6E74">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 xml:space="preserve">Tzu-Mao Li, Miika Aittala, Frédo Durand, and Jaakko Lehtinen2018.Differentiable Monte Carlo ray tracing through edge sampling. ACM Trans. Graph. 37, 6, Article 222 (December 2018), 11 pages. </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"https://doi.org/10.1145/3272127.3275109" </w:instrText>
      </w:r>
      <w:r>
        <w:rPr>
          <w:rFonts w:hint="default" w:ascii="Times New Roman" w:hAnsi="Times New Roman" w:eastAsia="宋体" w:cs="Times New Roman"/>
        </w:rPr>
        <w:fldChar w:fldCharType="separate"/>
      </w:r>
      <w:r>
        <w:rPr>
          <w:rStyle w:val="10"/>
          <w:rFonts w:hint="default" w:ascii="Times New Roman" w:hAnsi="Times New Roman" w:eastAsia="宋体" w:cs="Times New Roman"/>
        </w:rPr>
        <w:t>https://doi.org/10.1145/3272127.3275109</w:t>
      </w:r>
      <w:r>
        <w:rPr>
          <w:rFonts w:hint="default" w:ascii="Times New Roman" w:hAnsi="Times New Roman" w:eastAsia="宋体" w:cs="Times New Roman"/>
        </w:rPr>
        <w:fldChar w:fldCharType="end"/>
      </w:r>
    </w:p>
    <w:p w14:paraId="1A879621">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Chang, J.,Wetzstein,et al. Deep Optics for Monocular Depth Estimation and 3D Object Detection [arXiv][J]. arXiv,2019,: 10.</w:t>
      </w:r>
    </w:p>
    <w:p w14:paraId="76875775">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Smith W J. Modern Optical Engineering[M]. 4th ed. McGraw-Hill, 2007.</w:t>
      </w:r>
    </w:p>
    <w:p w14:paraId="010019D9">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rPr>
      </w:pPr>
      <w:bookmarkStart w:id="1" w:name="_Ref9164"/>
      <w:r>
        <w:rPr>
          <w:rFonts w:hint="default" w:ascii="Times New Roman" w:hAnsi="Times New Roman" w:eastAsia="宋体" w:cs="Times New Roman"/>
          <w:lang w:val="en-US" w:eastAsia="zh-CN"/>
        </w:rPr>
        <w:t xml:space="preserve">X. Yang, Q. Fu, and W. Heidrich, ‘Curriculum learning for ab initio deep learned refractive optics’, Nat Commun, vol. 15, no. 1, p. 6572, Aug. 2024,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"https://doi.org/10.1038/s41467-024-50835-7"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t>10.1038/s41467-024-50835-7</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1"/>
    </w:p>
    <w:p w14:paraId="7BA2C4FF">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rPr>
      </w:pPr>
      <w:bookmarkStart w:id="2" w:name="_Ref9640"/>
      <w:r>
        <w:rPr>
          <w:rFonts w:hint="default" w:ascii="Times New Roman" w:hAnsi="Times New Roman" w:eastAsia="宋体" w:cs="Times New Roman"/>
          <w:lang w:val="en-US" w:eastAsia="zh-CN"/>
        </w:rPr>
        <w:t xml:space="preserve">C. Wang, N. Chen, and W. Heidrich, ‘dO: A Differentiable Engine for Deep Lens Design of Computational Imaging Systems’, IEEE Trans. Comput. Imaging, vol. 8, pp. 905–916, 2022,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"https://doi.org/10.1109/TCI.2022.3212837"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rPr>
        <w:t>10.1109/TCI.2022.3212837</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2"/>
    </w:p>
    <w:p w14:paraId="7E75D75F">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3" w:name="_Ref24032"/>
      <w:bookmarkStart w:id="4" w:name="_Ref1950"/>
      <w:r>
        <w:rPr>
          <w:rFonts w:hint="default" w:ascii="Times New Roman" w:hAnsi="Times New Roman" w:eastAsia="宋体" w:cs="Times New Roman"/>
          <w:lang w:val="en-US" w:eastAsia="zh-CN"/>
        </w:rPr>
        <w:t xml:space="preserve">A. Halé, P. Trouvé-Peloux, and J.-B. Volatier, ‘End-to-end sensor and neural network design using differential ray tracing’, Opt. Express, vol. 29, no. 21, p. 34748, Oct. 2021,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"https://doi.org/10.1364/OE.439571"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10.1364/OE.439571</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3"/>
    </w:p>
    <w:p w14:paraId="1886BB74">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C. A. Metzler, H. Ikoma, Y. Peng, and G. Wetzstein, ‘Deep Optics for Single-Shot High-Dynamic-Range Imaging’, in 2020 IEEE/CVF Conference on Computer Vision and Pattern Recognition (CVPR), Seattle, WA, USA: IEEE, June 2020, pp. 1372–1382.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"https://doi.org/10.1109/CVPR42600.2020.00145"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10.1109/CVPR42600.2020.00145</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4"/>
    </w:p>
    <w:p w14:paraId="5C53E05E">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5" w:name="_Ref1963"/>
      <w:r>
        <w:rPr>
          <w:rFonts w:hint="default" w:ascii="Times New Roman" w:hAnsi="Times New Roman" w:eastAsia="宋体" w:cs="Times New Roman"/>
          <w:lang w:val="en-US" w:eastAsia="zh-CN"/>
        </w:rPr>
        <w:t xml:space="preserve">E. Tseng et al., ‘Differentiable Compound Optics and Processing Pipeline Optimization for End-to-end Camera Design’, ACM Trans. Graph., vol. 40, no. 2, pp. 1–19, Apr. 2021,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"https://doi.org/10.1145/3446791"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10.1145/3446791</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p>
    <w:p w14:paraId="5CA8B6B9">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Y. Wu, V. Boominathan, H. Chen, A. Sankaranarayanan, and A. Veeraraghavan, ‘PhaseCam3D — Learning Phase Masks for Passive Single View Depth Estimation’, in 2019 IEEE International Conference on Computational Photography (ICCP), Tokyo, Japan: IEEE, May 2019, pp. 1–12.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"https://doi.org/10.1109/ICCPHOT.2019.8747330"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10.1109/ICCPHOT.2019.8747330</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5"/>
    </w:p>
    <w:p w14:paraId="5441350D">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6" w:name="_Ref7090"/>
      <w:r>
        <w:rPr>
          <w:rFonts w:hint="default" w:ascii="Times New Roman" w:hAnsi="Times New Roman" w:eastAsia="宋体" w:cs="Times New Roman"/>
          <w:lang w:val="en-US" w:eastAsia="zh-CN"/>
        </w:rPr>
        <w:t xml:space="preserve">P. Wang, N. Mohammad, and R. Menon, ‘Chromatic-aberration-corrected diffractive lenses for ultra-broadband focusing’, Sci Rep, vol. 6, no. 1, p. 21545, Feb. 2016,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"https://doi.org/10.1038/srep21545"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10.1038/srep21545</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6"/>
    </w:p>
    <w:p w14:paraId="034F34CB">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7" w:name="_Ref8282"/>
      <w:r>
        <w:rPr>
          <w:rFonts w:hint="default" w:ascii="Times New Roman" w:hAnsi="Times New Roman" w:eastAsia="宋体" w:cs="Times New Roman"/>
          <w:lang w:val="en-US" w:eastAsia="zh-CN"/>
        </w:rPr>
        <w:t xml:space="preserve">S.-H. Baek et al., ‘Single-shot Hyperspectral-Depth Imaging with Learned Diffractive Optics’, in 2021 IEEE/CVF International Conference on Computer Vision (ICCV), Montreal, QC, Canada: IEEE, Oct. 2021, pp. 2631–2640.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"https://doi.org/10.1109/ICCV48922.2021.00265"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10.1109/ICCV48922.2021.00265</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7"/>
    </w:p>
    <w:p w14:paraId="5E8069FB">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8" w:name="_Ref8285"/>
      <w:r>
        <w:rPr>
          <w:rFonts w:hint="default" w:ascii="Times New Roman" w:hAnsi="Times New Roman" w:eastAsia="宋体" w:cs="Times New Roman"/>
          <w:lang w:val="en-US" w:eastAsia="zh-CN"/>
        </w:rPr>
        <w:t xml:space="preserve">X. Dun, H. Ikoma, G. Wetzstein, Z. Wang, X. Cheng, and Y. Peng, ‘Learned rotationally symmetric diffractive achromat for full-spectrum computational imaging’, Optica, vol. 7, no. 8, p. 913, Aug. 2020,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"https://doi.org/10.1364/OPTICA.394413"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10.1364/OPTICA.394413</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8"/>
    </w:p>
    <w:p w14:paraId="3B0176D2">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9" w:name="_Ref8289"/>
      <w:r>
        <w:rPr>
          <w:rFonts w:hint="default" w:ascii="Times New Roman" w:hAnsi="Times New Roman" w:eastAsia="宋体" w:cs="Times New Roman"/>
          <w:lang w:val="en-US" w:eastAsia="zh-CN"/>
        </w:rPr>
        <w:t xml:space="preserve">D. S. Jeon et al., ‘Compact snapshot hyperspectral imaging with diffracted rotation’, ACM Trans. Graph., vol. 38, no. 4, pp. 1–13, Aug. 2019,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"https://doi.org/10.1145/3306346.3322946"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10.1145/3306346.3322946</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9"/>
    </w:p>
    <w:p w14:paraId="07DFB45E">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G. Côté, F. Mannan, S. Thibault, J.-F. Lalonde, and F. Heide, ‘The Differentiable Lens: Compound Lens Search over Glass Surfaces and Materials for Object Detection’, in 2023 IEEE/CVF Conference on Computer Vision and Pattern Recognition (CVPR), Vancouver, BC, Canada: IEEE, June 2023, pp. 20803–20812.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"https://doi.org/10.1109/CVPR52729.2023.01993"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10.1109/CVPR52729.2023.01993</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p>
    <w:p w14:paraId="1A2CD9E6">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10" w:name="_Ref11097"/>
      <w:r>
        <w:rPr>
          <w:rFonts w:hint="default" w:ascii="Times New Roman" w:hAnsi="Times New Roman" w:eastAsia="宋体" w:cs="Times New Roman"/>
          <w:lang w:val="en-US" w:eastAsia="zh-CN"/>
        </w:rPr>
        <w:t xml:space="preserve">E. Tseng et al., ‘Neural étendue expander for ultra-wide-angle high-fidelity holographic display’, Nat Commun, vol. 15, no. 1, p. 2907, Apr. 2024,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"https://doi.org/10.1038/s41467-024-46915-3"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10.1038/s41467-024-46915-3</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10"/>
    </w:p>
    <w:p w14:paraId="217E191E">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11" w:name="_Ref11100"/>
      <w:r>
        <w:rPr>
          <w:rFonts w:hint="default" w:ascii="Times New Roman" w:hAnsi="Times New Roman" w:eastAsia="宋体" w:cs="Times New Roman"/>
          <w:lang w:val="en-US" w:eastAsia="zh-CN"/>
        </w:rPr>
        <w:t xml:space="preserve">V. Sitzmann et al., ‘End-to-end optimization of optics and image processing for achromatic extended depth of field and super-resolution imaging’, ACM Trans. Graph., vol. 37, no. 4, pp. 1–13, Aug. 2018,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"https://doi.org/10.1145/3197517.3201333"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10.1145/3197517.3201333</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11"/>
    </w:p>
    <w:p w14:paraId="38671AC4">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12" w:name="_Ref11103"/>
      <w:r>
        <w:rPr>
          <w:rFonts w:hint="default" w:ascii="Times New Roman" w:hAnsi="Times New Roman" w:eastAsia="宋体" w:cs="Times New Roman"/>
          <w:lang w:val="en-US" w:eastAsia="zh-CN"/>
        </w:rPr>
        <w:t xml:space="preserve">G. Wetzstein et al., ‘Inference in artificial intelligence with deep optics and photonics’, Nature, vol. 588, no. 7836, pp. 39–47, Dec. 2020,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"https://doi.org/10.1038/s41586-020-2973-6"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10.1038/s41586-020-2973-6</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12"/>
    </w:p>
    <w:p w14:paraId="4FFF3F16">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13" w:name="_Ref12864"/>
      <w:r>
        <w:rPr>
          <w:rFonts w:hint="default" w:ascii="Times New Roman" w:hAnsi="Times New Roman" w:eastAsia="宋体" w:cs="Times New Roman"/>
          <w:lang w:val="en-US" w:eastAsia="zh-CN"/>
        </w:rPr>
        <w:t xml:space="preserve">Q. Sun, E. Tseng, Q. Fu, W. Heidrich, and F. Heide, ‘Learning Rank-1 Diffractive Optics for Single-Shot High Dynamic Range Imaging’, in 2020 IEEE/CVF Conference on Computer Vision and Pattern Recognition (CVPR), Seattle, WA, USA: IEEE, June 2020, pp. 1383–1393.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"https://doi.org/10.1109/CVPR42600.2020.00146"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10.1109/CVPR42600.2020.00146</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13"/>
    </w:p>
    <w:p w14:paraId="48048C23">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14" w:name="_Ref12867"/>
      <w:r>
        <w:rPr>
          <w:rFonts w:hint="default" w:ascii="Times New Roman" w:hAnsi="Times New Roman" w:eastAsia="宋体" w:cs="Times New Roman"/>
          <w:lang w:val="en-US" w:eastAsia="zh-CN"/>
        </w:rPr>
        <w:t xml:space="preserve">Q. Sun, C. Wang, Q. Fu, X. Dun, and W. Heidrich, ‘End-to-end complex lens design with differentiate ray tracing’, ACM Trans. Graph., vol. 40, no. 4, pp. 1–13, Aug. 2021,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"https://doi.org/10.1145/3450626.3459674"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10.1145/3450626.3459674</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14"/>
    </w:p>
    <w:p w14:paraId="281B9B57">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15" w:name="_Ref17736"/>
      <w:r>
        <w:rPr>
          <w:rFonts w:hint="default" w:ascii="Times New Roman" w:hAnsi="Times New Roman" w:eastAsia="宋体" w:cs="Times New Roman"/>
          <w:lang w:val="en-US" w:eastAsia="zh-CN"/>
        </w:rPr>
        <w:t xml:space="preserve">S. Noach, Y. Arieli, and N. Eisenberg, ‘Wave-front control and aberration correction with a diffractive optical element’, Opt. Lett., vol. 24, no. 5, p. 333, Mar. 1999,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"https://doi.org/10.1364/OL.24.000333"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10.1364/OL.24.000333</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15"/>
    </w:p>
    <w:p w14:paraId="3DC55875">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16" w:name="_Ref17739"/>
      <w:r>
        <w:rPr>
          <w:rFonts w:hint="default" w:ascii="Times New Roman" w:hAnsi="Times New Roman" w:eastAsia="宋体" w:cs="Times New Roman"/>
          <w:lang w:val="en-US" w:eastAsia="zh-CN"/>
        </w:rPr>
        <w:t xml:space="preserve">X. Pei et al., ‘End-to-end optimization of a diffractive optical element and aberration correction for integral imaging’, Chin. Opt. Lett., vol. 20, no. 12, p. 121101, 2022,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"https://doi.org/10.3788/COL202220.121101"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10.3788/COL202220.121101</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16"/>
    </w:p>
    <w:p w14:paraId="1D777CA0">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17" w:name="_Ref18389"/>
      <w:r>
        <w:rPr>
          <w:rFonts w:hint="default" w:ascii="Times New Roman" w:hAnsi="Times New Roman" w:eastAsia="宋体" w:cs="Times New Roman"/>
          <w:lang w:val="en-US" w:eastAsia="zh-CN"/>
        </w:rPr>
        <w:t xml:space="preserve">Y. Du, Q. Tan, and L. Cao, ‘Snapshot extended depth-of-field microscopy via diffractive optical elements’, Optics and Lasers in Engineering, vol. 195, p. 109378, Dec. 2025,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"https://doi.org/10.1016/j.optlaseng.2025.109378"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10.1016/j.optlaseng.2025.109378</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17"/>
    </w:p>
    <w:p w14:paraId="3CC7653E">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18" w:name="_Ref18392"/>
      <w:r>
        <w:rPr>
          <w:rFonts w:hint="default" w:ascii="Times New Roman" w:hAnsi="Times New Roman" w:eastAsia="宋体" w:cs="Times New Roman"/>
          <w:lang w:val="en-US" w:eastAsia="zh-CN"/>
        </w:rPr>
        <w:t xml:space="preserve">J. Zhao et al., ‘Extending Depth-of-Field of Arbitrary Diffractive Optics with Needle-Shaped Beam Modulation’, ACS Photonics, vol. 11, no. 9, pp. 3481–3485, Sept. 2024,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"https://doi.org/10.1021/acsphotonics.4c00260"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10.1021/acsphotonics.4c00260</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18"/>
    </w:p>
    <w:p w14:paraId="57457F7D">
      <w:pPr>
        <w:pStyle w:val="5"/>
        <w:keepNext w:val="0"/>
        <w:keepLines w:val="0"/>
        <w:pageBreakBefore w:val="0"/>
        <w:widowControl/>
        <w:numPr>
          <w:ilvl w:val="0"/>
          <w:numId w:val="2"/>
        </w:numPr>
        <w:suppressLineNumbers w:val="0"/>
        <w:kinsoku/>
        <w:wordWrap w:val="0"/>
        <w:overflowPunct/>
        <w:topLinePunct w:val="0"/>
        <w:autoSpaceDE/>
        <w:autoSpaceDN/>
        <w:bidi w:val="0"/>
        <w:adjustRightInd/>
        <w:snapToGrid/>
        <w:ind w:left="0" w:leftChars="0" w:right="0" w:rightChars="0" w:firstLine="0" w:firstLineChars="0"/>
        <w:textAlignment w:val="auto"/>
        <w:rPr>
          <w:rFonts w:hint="default" w:ascii="Times New Roman" w:hAnsi="Times New Roman" w:eastAsia="宋体" w:cs="Times New Roman"/>
          <w:lang w:val="en-US" w:eastAsia="zh-CN"/>
        </w:rPr>
      </w:pPr>
      <w:bookmarkStart w:id="19" w:name="_Ref18395"/>
      <w:r>
        <w:rPr>
          <w:rFonts w:hint="default" w:ascii="Times New Roman" w:hAnsi="Times New Roman" w:eastAsia="宋体" w:cs="Times New Roman"/>
          <w:lang w:val="en-US" w:eastAsia="zh-CN"/>
        </w:rPr>
        <w:t xml:space="preserve">X. Xie et al., ‘Extended depth of field method with a designed diffraction optical element based on multi-depth fusion and end-to-end optimization’, Optics Communications, vol. 517, p. 128317, Aug. 2022, doi: </w:t>
      </w:r>
      <w:r>
        <w:rPr>
          <w:rFonts w:hint="default" w:ascii="Times New Roman" w:hAnsi="Times New Roman" w:eastAsia="宋体" w:cs="Times New Roman"/>
          <w:lang w:val="en-US" w:eastAsia="zh-CN"/>
        </w:rPr>
        <w:fldChar w:fldCharType="begin"/>
      </w:r>
      <w:r>
        <w:rPr>
          <w:rFonts w:hint="default" w:ascii="Times New Roman" w:hAnsi="Times New Roman" w:eastAsia="宋体" w:cs="Times New Roman"/>
          <w:lang w:val="en-US" w:eastAsia="zh-CN"/>
        </w:rPr>
        <w:instrText xml:space="preserve"> HYPERLINK "https://doi.org/10.1016/j.optcom.2022.128317" </w:instrText>
      </w:r>
      <w:r>
        <w:rPr>
          <w:rFonts w:hint="default" w:ascii="Times New Roman" w:hAnsi="Times New Roman" w:eastAsia="宋体" w:cs="Times New Roman"/>
          <w:lang w:val="en-US" w:eastAsia="zh-CN"/>
        </w:rPr>
        <w:fldChar w:fldCharType="separate"/>
      </w:r>
      <w:r>
        <w:rPr>
          <w:rFonts w:hint="default" w:ascii="Times New Roman" w:hAnsi="Times New Roman" w:eastAsia="宋体" w:cs="Times New Roman"/>
          <w:lang w:val="en-US" w:eastAsia="zh-CN"/>
        </w:rPr>
        <w:t>10.1016/j.optcom.2022.128317</w:t>
      </w:r>
      <w:r>
        <w:rPr>
          <w:rFonts w:hint="default" w:ascii="Times New Roman" w:hAnsi="Times New Roman" w:eastAsia="宋体" w:cs="Times New Roman"/>
          <w:lang w:val="en-US" w:eastAsia="zh-CN"/>
        </w:rPr>
        <w:fldChar w:fldCharType="end"/>
      </w:r>
      <w:r>
        <w:rPr>
          <w:rFonts w:hint="default" w:ascii="Times New Roman" w:hAnsi="Times New Roman" w:eastAsia="宋体" w:cs="Times New Roman"/>
          <w:lang w:val="en-US" w:eastAsia="zh-CN"/>
        </w:rPr>
        <w:t>.</w:t>
      </w:r>
      <w:bookmarkEnd w:id="19"/>
    </w:p>
    <w:p w14:paraId="5E182937">
      <w:pPr>
        <w:pStyle w:val="5"/>
        <w:keepNext w:val="0"/>
        <w:keepLines w:val="0"/>
        <w:widowControl/>
        <w:numPr>
          <w:ilvl w:val="0"/>
          <w:numId w:val="0"/>
        </w:numPr>
        <w:suppressLineNumbers w:val="0"/>
        <w:ind w:leftChars="0" w:right="0" w:rightChars="0"/>
        <w:rPr>
          <w:rFonts w:hint="default" w:ascii="Times New Roman" w:hAnsi="Times New Roman" w:eastAsia="宋体" w:cs="Times New Roman"/>
          <w:lang w:val="en-US" w:eastAsia="zh-CN"/>
        </w:rPr>
      </w:pPr>
    </w:p>
    <w:p w14:paraId="39DE8375">
      <w:pPr>
        <w:pStyle w:val="5"/>
        <w:keepNext w:val="0"/>
        <w:keepLines w:val="0"/>
        <w:widowControl/>
        <w:numPr>
          <w:ilvl w:val="0"/>
          <w:numId w:val="0"/>
        </w:numPr>
        <w:suppressLineNumbers w:val="0"/>
        <w:ind w:leftChars="0" w:right="0" w:rightChars="0"/>
        <w:rPr>
          <w:rFonts w:hint="default" w:ascii="Times New Roman" w:hAnsi="Times New Roman" w:eastAsia="宋体" w:cs="Times New Roman"/>
          <w:lang w:val="en-US" w:eastAsia="zh-CN"/>
        </w:rPr>
      </w:pPr>
    </w:p>
    <w:p w14:paraId="06775E92">
      <w:pPr>
        <w:pStyle w:val="5"/>
        <w:keepNext w:val="0"/>
        <w:keepLines w:val="0"/>
        <w:widowControl/>
        <w:numPr>
          <w:ilvl w:val="0"/>
          <w:numId w:val="0"/>
        </w:numPr>
        <w:suppressLineNumbers w:val="0"/>
        <w:ind w:leftChars="0" w:right="0" w:rightChars="0"/>
        <w:rPr>
          <w:rFonts w:hint="default" w:ascii="Times New Roman" w:hAnsi="Times New Roman" w:eastAsia="宋体" w:cs="Times New Roman"/>
          <w:lang w:val="en-US" w:eastAsia="zh-CN"/>
        </w:rPr>
      </w:pPr>
    </w:p>
    <w:p w14:paraId="674F4C3B">
      <w:pPr>
        <w:pStyle w:val="5"/>
        <w:keepNext w:val="0"/>
        <w:keepLines w:val="0"/>
        <w:widowControl/>
        <w:numPr>
          <w:ilvl w:val="0"/>
          <w:numId w:val="0"/>
        </w:numPr>
        <w:suppressLineNumbers w:val="0"/>
        <w:ind w:leftChars="0" w:right="0" w:rightChars="0"/>
        <w:rPr>
          <w:rFonts w:hint="default" w:ascii="Times New Roman" w:hAnsi="Times New Roman" w:eastAsia="宋体" w:cs="Times New Roman"/>
        </w:rPr>
      </w:pPr>
    </w:p>
    <w:p w14:paraId="03B76F64">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default" w:ascii="Times New Roman" w:hAnsi="Times New Roman" w:eastAsia="宋体" w:cs="Times New Roman"/>
          <w:kern w:val="0"/>
          <w:sz w:val="24"/>
          <w:lang w:val="en-US" w:eastAsia="zh-CN"/>
        </w:rPr>
      </w:pPr>
    </w:p>
    <w:p w14:paraId="0D8A7152">
      <w:pPr>
        <w:keepNext w:val="0"/>
        <w:keepLines w:val="0"/>
        <w:pageBreakBefore w:val="0"/>
        <w:widowControl w:val="0"/>
        <w:kinsoku/>
        <w:wordWrap/>
        <w:overflowPunct/>
        <w:topLinePunct w:val="0"/>
        <w:autoSpaceDE/>
        <w:autoSpaceDN/>
        <w:bidi w:val="0"/>
        <w:adjustRightInd/>
        <w:snapToGrid w:val="0"/>
        <w:spacing w:line="440" w:lineRule="exact"/>
        <w:jc w:val="left"/>
        <w:textAlignment w:val="auto"/>
        <w:rPr>
          <w:rFonts w:hint="eastAsia" w:ascii="Times New Roman" w:hAnsi="Times New Roman" w:eastAsia="宋体" w:cs="Times New Roman"/>
          <w:kern w:val="0"/>
          <w:sz w:val="24"/>
          <w:lang w:val="en-US" w:eastAsia="zh-CN"/>
        </w:rPr>
      </w:pPr>
    </w:p>
    <w:p w14:paraId="5BC252DD">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both"/>
        <w:textAlignment w:val="auto"/>
        <w:rPr>
          <w:rFonts w:hint="eastAsia" w:cs="Times New Roman"/>
          <w:kern w:val="0"/>
          <w:sz w:val="24"/>
          <w:lang w:val="en-US" w:eastAsia="zh-CN"/>
        </w:rPr>
      </w:pPr>
    </w:p>
    <w:p w14:paraId="4E1445E2">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both"/>
        <w:textAlignment w:val="auto"/>
        <w:rPr>
          <w:rFonts w:hint="default" w:cs="Times New Roman"/>
          <w:kern w:val="0"/>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3C295"/>
    <w:multiLevelType w:val="singleLevel"/>
    <w:tmpl w:val="8E23C295"/>
    <w:lvl w:ilvl="0" w:tentative="0">
      <w:start w:val="1"/>
      <w:numFmt w:val="decimal"/>
      <w:lvlText w:val="[%1]"/>
      <w:lvlJc w:val="left"/>
      <w:pPr>
        <w:tabs>
          <w:tab w:val="left" w:pos="312"/>
        </w:tabs>
      </w:pPr>
      <w:rPr>
        <w:rFonts w:hint="default"/>
      </w:rPr>
    </w:lvl>
  </w:abstractNum>
  <w:abstractNum w:abstractNumId="1">
    <w:nsid w:val="26F54D68"/>
    <w:multiLevelType w:val="multilevel"/>
    <w:tmpl w:val="26F54D68"/>
    <w:lvl w:ilvl="0" w:tentative="0">
      <w:start w:val="1"/>
      <w:numFmt w:val="decimal"/>
      <w:lvlText w:val="%1."/>
      <w:lvlJc w:val="left"/>
      <w:pPr>
        <w:ind w:left="360" w:hanging="360"/>
      </w:pPr>
      <w:rPr>
        <w:rFonts w:hint="default"/>
        <w:lang w:val="en-US"/>
      </w:rPr>
    </w:lvl>
    <w:lvl w:ilvl="1" w:tentative="0">
      <w:start w:val="1"/>
      <w:numFmt w:val="decimal"/>
      <w:isLgl/>
      <w:lvlText w:val="%1.%2"/>
      <w:lvlJc w:val="left"/>
      <w:pPr>
        <w:ind w:left="495" w:hanging="49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6A3BB1"/>
    <w:rsid w:val="010E756B"/>
    <w:rsid w:val="14A57ADA"/>
    <w:rsid w:val="19011CBC"/>
    <w:rsid w:val="19C07582"/>
    <w:rsid w:val="2588310C"/>
    <w:rsid w:val="39D50828"/>
    <w:rsid w:val="39E62997"/>
    <w:rsid w:val="3B725FA4"/>
    <w:rsid w:val="3C6A3BB1"/>
    <w:rsid w:val="3D396D53"/>
    <w:rsid w:val="41CC051A"/>
    <w:rsid w:val="446E36D8"/>
    <w:rsid w:val="45092F83"/>
    <w:rsid w:val="4A530A94"/>
    <w:rsid w:val="4C86668E"/>
    <w:rsid w:val="4EB27453"/>
    <w:rsid w:val="4EF6468A"/>
    <w:rsid w:val="4FBF5EE7"/>
    <w:rsid w:val="52B37969"/>
    <w:rsid w:val="56FF2028"/>
    <w:rsid w:val="5ED16B4B"/>
    <w:rsid w:val="673D5E9D"/>
    <w:rsid w:val="688356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 w:type="paragraph" w:customStyle="1" w:styleId="12">
    <w:name w:val="MTDisplayEquation"/>
    <w:basedOn w:val="1"/>
    <w:next w:val="1"/>
    <w:uiPriority w:val="0"/>
    <w:pPr>
      <w:tabs>
        <w:tab w:val="center" w:pos="4160"/>
        <w:tab w:val="right" w:pos="8300"/>
      </w:tabs>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oleObject" Target="embeddings/oleObject6.bin"/><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11656</Words>
  <Characters>16123</Characters>
  <Lines>0</Lines>
  <Paragraphs>0</Paragraphs>
  <TotalTime>1</TotalTime>
  <ScaleCrop>false</ScaleCrop>
  <LinksUpToDate>false</LinksUpToDate>
  <CharactersWithSpaces>16898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2025-12-08T07:07:00Z</dcterms:created>
  <dc:creator>℡じづ 空城 -、</dc:creator>
  <cp:lastModifiedBy>℡じづ 空城 -、</cp:lastModifiedBy>
  <dcterms:modified xsi:type="dcterms:W3CDTF">2025-12-22T09:19:14Z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457F0D69FFC74CC0BB2588AA98F5EF01_11</vt:lpwstr>
  </property>
  <property fmtid="{D5CDD505-2E9C-101B-9397-08002B2CF9AE}" pid="4" name="MTWinEqns">
    <vt:bool>true</vt:bool>
  </property>
  <property fmtid="{D5CDD505-2E9C-101B-9397-08002B2CF9AE}" pid="5" name="KSOTemplateDocerSaveRecord">
    <vt:lpwstr>eyJoZGlkIjoiMmM5MDgxMzcyY2IxYjc5YmVhZTVlODYwMjAxMWI4ODEiLCJ1c2VySWQiOiIzNzM4MDg5NTMifQ==</vt:lpwstr>
  </property>
</Properties>
</file>