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86CDF" w14:textId="77777777" w:rsidR="00407089" w:rsidRDefault="00A873AC">
      <w:pPr>
        <w:spacing w:before="1440" w:after="480"/>
        <w:jc w:val="center"/>
      </w:pPr>
      <w:r>
        <w:rPr>
          <w:b/>
          <w:bCs/>
          <w:color w:val="1F4E79"/>
          <w:sz w:val="40"/>
          <w:szCs w:val="40"/>
        </w:rPr>
        <w:t>ANÁLISIS DE ARTÍCULOS CIENTÍFICOS</w:t>
      </w:r>
    </w:p>
    <w:p w14:paraId="47B55757" w14:textId="77777777" w:rsidR="00407089" w:rsidRDefault="00A873AC">
      <w:pPr>
        <w:spacing w:after="240"/>
        <w:jc w:val="center"/>
      </w:pPr>
      <w:r>
        <w:rPr>
          <w:color w:val="2E75B6"/>
          <w:sz w:val="28"/>
          <w:szCs w:val="28"/>
        </w:rPr>
        <w:t>Matriz de Operacionalización y Estado del Arte</w:t>
      </w:r>
    </w:p>
    <w:p w14:paraId="63BC829C" w14:textId="77777777" w:rsidR="00407089" w:rsidRDefault="00A873AC">
      <w:pPr>
        <w:pStyle w:val="Ttulo1"/>
        <w:spacing w:before="300" w:after="150"/>
      </w:pPr>
      <w:r>
        <w:t>ARTÍCULO 2 — Wang et al. (2025)</w:t>
      </w:r>
    </w:p>
    <w:p w14:paraId="51EB7F86" w14:textId="77777777" w:rsidR="00407089" w:rsidRDefault="00A873AC">
      <w:pPr>
        <w:pStyle w:val="Ttulo2"/>
        <w:spacing w:before="300" w:after="150"/>
      </w:pPr>
      <w:r>
        <w:t>Matriz de Operacionalización</w:t>
      </w:r>
    </w:p>
    <w:p w14:paraId="52882440" w14:textId="77777777" w:rsidR="00407089" w:rsidRDefault="00A873AC">
      <w:pPr>
        <w:spacing w:after="120"/>
      </w:pPr>
      <w:r>
        <w:t>La siguiente tabla presenta las variables del estudio con sus dimensiones e indicadores específicos, derivados del diseño experimental del artículo (modelado predictivo con CNN-LSTM para reactores de pirólisis-combustión).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668"/>
        <w:gridCol w:w="1768"/>
        <w:gridCol w:w="2656"/>
        <w:gridCol w:w="1737"/>
      </w:tblGrid>
      <w:tr w:rsidR="00407089" w14:paraId="6E4248A0"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E38CA8" w14:textId="77777777" w:rsidR="00407089" w:rsidRDefault="00A873AC">
            <w:pPr>
              <w:jc w:val="center"/>
            </w:pPr>
            <w:r>
              <w:rPr>
                <w:b/>
                <w:bCs/>
                <w:color w:val="FFFFFF"/>
                <w:sz w:val="20"/>
                <w:szCs w:val="20"/>
              </w:rPr>
              <w:t>Variable</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97E7F6" w14:textId="77777777" w:rsidR="00407089" w:rsidRDefault="00A873AC">
            <w:pPr>
              <w:jc w:val="center"/>
            </w:pPr>
            <w:r>
              <w:rPr>
                <w:b/>
                <w:bCs/>
                <w:color w:val="FFFFFF"/>
                <w:sz w:val="20"/>
                <w:szCs w:val="20"/>
              </w:rPr>
              <w:t>Definición Conceptual</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AACDE4" w14:textId="77777777" w:rsidR="00407089" w:rsidRDefault="00A873AC">
            <w:pPr>
              <w:jc w:val="center"/>
            </w:pPr>
            <w:r>
              <w:rPr>
                <w:b/>
                <w:bCs/>
                <w:color w:val="FFFFFF"/>
                <w:sz w:val="20"/>
                <w:szCs w:val="20"/>
              </w:rPr>
              <w:t>Di</w:t>
            </w:r>
            <w:r>
              <w:rPr>
                <w:b/>
                <w:bCs/>
                <w:color w:val="FFFFFF"/>
                <w:sz w:val="20"/>
                <w:szCs w:val="20"/>
              </w:rPr>
              <w:t>mensiones</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A971AE" w14:textId="77777777" w:rsidR="00407089" w:rsidRDefault="00A873AC">
            <w:pPr>
              <w:jc w:val="center"/>
            </w:pPr>
            <w:r>
              <w:rPr>
                <w:b/>
                <w:bCs/>
                <w:color w:val="FFFFFF"/>
                <w:sz w:val="20"/>
                <w:szCs w:val="20"/>
              </w:rPr>
              <w:t>Indicadores</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7AEF7D" w14:textId="77777777" w:rsidR="00407089" w:rsidRDefault="00A873AC">
            <w:pPr>
              <w:jc w:val="center"/>
            </w:pPr>
            <w:r>
              <w:rPr>
                <w:b/>
                <w:bCs/>
                <w:color w:val="FFFFFF"/>
                <w:sz w:val="20"/>
                <w:szCs w:val="20"/>
              </w:rPr>
              <w:t>Escala / Unidad</w:t>
            </w:r>
          </w:p>
        </w:tc>
      </w:tr>
      <w:tr w:rsidR="00407089" w14:paraId="2D5AC585" w14:textId="77777777">
        <w:tblPrEx>
          <w:tblCellMar>
            <w:top w:w="0" w:type="dxa"/>
            <w:bottom w:w="0" w:type="dxa"/>
          </w:tblCellMar>
        </w:tblPrEx>
        <w:tc>
          <w:tcPr>
            <w:tcW w:w="1300" w:type="dxa"/>
            <w:vMerge w:val="restart"/>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E9277E" w14:textId="77777777" w:rsidR="00407089" w:rsidRDefault="00A873AC">
            <w:r>
              <w:rPr>
                <w:b/>
                <w:bCs/>
                <w:sz w:val="18"/>
                <w:szCs w:val="18"/>
              </w:rPr>
              <w:t>Variable Independiente (VI): Características del método MI-CNN-LSTM</w:t>
            </w:r>
          </w:p>
        </w:tc>
        <w:tc>
          <w:tcPr>
            <w:tcW w:w="1700" w:type="dxa"/>
            <w:vMerge w:val="restart"/>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9D1944" w14:textId="77777777" w:rsidR="00407089" w:rsidRDefault="00A873AC">
            <w:r>
              <w:rPr>
                <w:sz w:val="18"/>
                <w:szCs w:val="18"/>
              </w:rPr>
              <w:t>Conjunto de decisiones de diseño del sistema de predicción (selección de variables, arquitectura CNN-LSTM, parámetros de entrenamiento y configuración del modelo de compensación FRBF) que determinan la capacidad de predicción y control del gas de pirólisis</w:t>
            </w:r>
            <w:r>
              <w:rPr>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DF0F5B" w14:textId="77777777" w:rsidR="00407089" w:rsidRDefault="00A873AC">
            <w:r>
              <w:rPr>
                <w:b/>
                <w:bCs/>
                <w:sz w:val="18"/>
                <w:szCs w:val="18"/>
              </w:rPr>
              <w:t>1. Selección de variables de entrada (MI)</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5D051B" w14:textId="77777777" w:rsidR="00407089" w:rsidRDefault="00A873AC">
            <w:r>
              <w:rPr>
                <w:sz w:val="18"/>
                <w:szCs w:val="18"/>
              </w:rPr>
              <w:t>Umbral MI (θ₁ = 1.429); factor de influencia α₁; número de variables iniciales (15) y seleccionadas (9); tipo de variable retenida (temperatura, presión, flujo de aire)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9997A0" w14:textId="77777777" w:rsidR="00407089" w:rsidRDefault="00A873AC">
            <w:r>
              <w:rPr>
                <w:sz w:val="18"/>
                <w:szCs w:val="18"/>
              </w:rPr>
              <w:t>Numérico continuo / categórico</w:t>
            </w:r>
          </w:p>
        </w:tc>
      </w:tr>
      <w:tr w:rsidR="00407089" w14:paraId="27D626C0" w14:textId="77777777">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14:paraId="0E58447B" w14:textId="77777777" w:rsidR="00407089" w:rsidRDefault="00407089"/>
        </w:tc>
        <w:tc>
          <w:tcPr>
            <w:tcW w:w="0" w:type="auto"/>
            <w:vMerge/>
            <w:tcBorders>
              <w:top w:val="single" w:sz="1" w:space="0" w:color="AAAAAA"/>
              <w:left w:val="single" w:sz="1" w:space="0" w:color="AAAAAA"/>
              <w:bottom w:val="single" w:sz="1" w:space="0" w:color="AAAAAA"/>
              <w:right w:val="single" w:sz="1" w:space="0" w:color="AAAAAA"/>
            </w:tcBorders>
          </w:tcPr>
          <w:p w14:paraId="6B47C8E5" w14:textId="77777777" w:rsidR="00407089" w:rsidRDefault="00407089"/>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2EB75" w14:textId="77777777" w:rsidR="00407089" w:rsidRDefault="00A873AC">
            <w:r>
              <w:rPr>
                <w:b/>
                <w:bCs/>
                <w:sz w:val="18"/>
                <w:szCs w:val="18"/>
              </w:rPr>
              <w:t>2. Arquitectura CNN-LSTM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FC17D" w14:textId="77777777" w:rsidR="00407089" w:rsidRDefault="00A873AC">
            <w:r>
              <w:rPr>
                <w:sz w:val="18"/>
                <w:szCs w:val="18"/>
              </w:rPr>
              <w:t xml:space="preserve">Capas: entrada (9 nodos), convolucional (1D), </w:t>
            </w:r>
            <w:proofErr w:type="spellStart"/>
            <w:r>
              <w:rPr>
                <w:sz w:val="18"/>
                <w:szCs w:val="18"/>
              </w:rPr>
              <w:t>pooling</w:t>
            </w:r>
            <w:proofErr w:type="spellEnd"/>
            <w:r>
              <w:rPr>
                <w:sz w:val="18"/>
                <w:szCs w:val="18"/>
              </w:rPr>
              <w:t xml:space="preserve"> (media), LSTM, totalmente conectada, salida (3 nodos); función de activación (</w:t>
            </w:r>
            <w:proofErr w:type="spellStart"/>
            <w:r>
              <w:rPr>
                <w:sz w:val="18"/>
                <w:szCs w:val="18"/>
              </w:rPr>
              <w:t>sigmoid</w:t>
            </w:r>
            <w:proofErr w:type="spellEnd"/>
            <w:r>
              <w:rPr>
                <w:sz w:val="18"/>
                <w:szCs w:val="18"/>
              </w:rPr>
              <w:t xml:space="preserve">, </w:t>
            </w:r>
            <w:proofErr w:type="spellStart"/>
            <w:r>
              <w:rPr>
                <w:sz w:val="18"/>
                <w:szCs w:val="18"/>
              </w:rPr>
              <w:t>tanh</w:t>
            </w:r>
            <w:proofErr w:type="spellEnd"/>
            <w:r>
              <w:rPr>
                <w:sz w:val="18"/>
                <w:szCs w:val="18"/>
              </w:rPr>
              <w:t xml:space="preserve">); coeficiente de regularización (0.25); </w:t>
            </w:r>
            <w:proofErr w:type="spellStart"/>
            <w:r>
              <w:rPr>
                <w:sz w:val="18"/>
                <w:szCs w:val="18"/>
              </w:rPr>
              <w:t>batch</w:t>
            </w:r>
            <w:proofErr w:type="spellEnd"/>
            <w:r>
              <w:rPr>
                <w:sz w:val="18"/>
                <w:szCs w:val="18"/>
              </w:rPr>
              <w:t xml:space="preserve"> </w:t>
            </w:r>
            <w:proofErr w:type="spellStart"/>
            <w:r>
              <w:rPr>
                <w:sz w:val="18"/>
                <w:szCs w:val="18"/>
              </w:rPr>
              <w:t>size</w:t>
            </w:r>
            <w:proofErr w:type="spellEnd"/>
            <w:r>
              <w:rPr>
                <w:sz w:val="18"/>
                <w:szCs w:val="18"/>
              </w:rPr>
              <w:t xml:space="preserve"> (32)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EDE62" w14:textId="77777777" w:rsidR="00407089" w:rsidRDefault="00A873AC">
            <w:r>
              <w:rPr>
                <w:sz w:val="18"/>
                <w:szCs w:val="18"/>
              </w:rPr>
              <w:t>Entero / nominal</w:t>
            </w:r>
          </w:p>
        </w:tc>
      </w:tr>
      <w:tr w:rsidR="00407089" w14:paraId="0297685E" w14:textId="77777777">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14:paraId="5D9962B9" w14:textId="77777777" w:rsidR="00407089" w:rsidRDefault="00407089"/>
        </w:tc>
        <w:tc>
          <w:tcPr>
            <w:tcW w:w="0" w:type="auto"/>
            <w:vMerge/>
            <w:tcBorders>
              <w:top w:val="single" w:sz="1" w:space="0" w:color="AAAAAA"/>
              <w:left w:val="single" w:sz="1" w:space="0" w:color="AAAAAA"/>
              <w:bottom w:val="single" w:sz="1" w:space="0" w:color="AAAAAA"/>
              <w:right w:val="single" w:sz="1" w:space="0" w:color="AAAAAA"/>
            </w:tcBorders>
          </w:tcPr>
          <w:p w14:paraId="606D3E47" w14:textId="77777777" w:rsidR="00407089" w:rsidRDefault="00407089"/>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FB1949" w14:textId="77777777" w:rsidR="00407089" w:rsidRDefault="00A873AC">
            <w:r>
              <w:rPr>
                <w:b/>
                <w:bCs/>
                <w:sz w:val="18"/>
                <w:szCs w:val="18"/>
              </w:rPr>
              <w:t>3. Parámetros de entrenamiento</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05EA27" w14:textId="77777777" w:rsidR="00407089" w:rsidRDefault="00A873AC">
            <w:r>
              <w:rPr>
                <w:sz w:val="18"/>
                <w:szCs w:val="18"/>
              </w:rPr>
              <w:t xml:space="preserve">Épocas máximas (1200); factor de decaimiento del </w:t>
            </w:r>
            <w:proofErr w:type="spellStart"/>
            <w:r>
              <w:rPr>
                <w:sz w:val="18"/>
                <w:szCs w:val="18"/>
              </w:rPr>
              <w:t>learning</w:t>
            </w:r>
            <w:proofErr w:type="spellEnd"/>
            <w:r>
              <w:rPr>
                <w:sz w:val="18"/>
                <w:szCs w:val="18"/>
              </w:rPr>
              <w:t xml:space="preserve"> </w:t>
            </w:r>
            <w:proofErr w:type="spellStart"/>
            <w:r>
              <w:rPr>
                <w:sz w:val="18"/>
                <w:szCs w:val="18"/>
              </w:rPr>
              <w:t>rate</w:t>
            </w:r>
            <w:proofErr w:type="spellEnd"/>
            <w:r>
              <w:rPr>
                <w:sz w:val="18"/>
                <w:szCs w:val="18"/>
              </w:rPr>
              <w:t xml:space="preserve"> (0.01); optimizador (Adam); partición datos: entrenamiento 200 muestras, prueba 100 muestras (ratio 2:1); normalización min-</w:t>
            </w:r>
            <w:proofErr w:type="spellStart"/>
            <w:r>
              <w:rPr>
                <w:sz w:val="18"/>
                <w:szCs w:val="18"/>
              </w:rPr>
              <w:t>max</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F48B79" w14:textId="77777777" w:rsidR="00407089" w:rsidRDefault="00A873AC">
            <w:r>
              <w:rPr>
                <w:sz w:val="18"/>
                <w:szCs w:val="18"/>
              </w:rPr>
              <w:t>Numérico continuo / nominal</w:t>
            </w:r>
          </w:p>
        </w:tc>
      </w:tr>
      <w:tr w:rsidR="00407089" w14:paraId="112F5CB0" w14:textId="77777777">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14:paraId="058B9599" w14:textId="77777777" w:rsidR="00407089" w:rsidRDefault="00407089"/>
        </w:tc>
        <w:tc>
          <w:tcPr>
            <w:tcW w:w="0" w:type="auto"/>
            <w:vMerge/>
            <w:tcBorders>
              <w:top w:val="single" w:sz="1" w:space="0" w:color="AAAAAA"/>
              <w:left w:val="single" w:sz="1" w:space="0" w:color="AAAAAA"/>
              <w:bottom w:val="single" w:sz="1" w:space="0" w:color="AAAAAA"/>
              <w:right w:val="single" w:sz="1" w:space="0" w:color="AAAAAA"/>
            </w:tcBorders>
          </w:tcPr>
          <w:p w14:paraId="56F6D1F2" w14:textId="77777777" w:rsidR="00407089" w:rsidRDefault="00407089"/>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106B2" w14:textId="77777777" w:rsidR="00407089" w:rsidRDefault="00A873AC">
            <w:r>
              <w:rPr>
                <w:b/>
                <w:bCs/>
                <w:sz w:val="18"/>
                <w:szCs w:val="18"/>
              </w:rPr>
              <w:t>4. Configuración del modelo de compensación FRBF</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ACAC2" w14:textId="77777777" w:rsidR="00407089" w:rsidRDefault="00A873AC">
            <w:r>
              <w:rPr>
                <w:sz w:val="18"/>
                <w:szCs w:val="18"/>
              </w:rPr>
              <w:t>Estructura de red FRBF: 9-7-6; función base radial (gaussiana); algoritmo de aprendizaje (mínimos cuadrados); tasa de aprendizaje (0.01); número de entrenamientos (1000); rangos de fluctuación aceptable: tem</w:t>
            </w:r>
            <w:r>
              <w:rPr>
                <w:sz w:val="18"/>
                <w:szCs w:val="18"/>
              </w:rPr>
              <w:t>peratura ±5%, valor calorífico ±4%, caudal ±3%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D14420" w14:textId="77777777" w:rsidR="00407089" w:rsidRDefault="00A873AC">
            <w:r>
              <w:rPr>
                <w:sz w:val="18"/>
                <w:szCs w:val="18"/>
              </w:rPr>
              <w:t>Numérico continuo / nominal</w:t>
            </w:r>
          </w:p>
        </w:tc>
      </w:tr>
      <w:tr w:rsidR="00407089" w14:paraId="4D72BB82" w14:textId="77777777">
        <w:tblPrEx>
          <w:tblCellMar>
            <w:top w:w="0" w:type="dxa"/>
            <w:bottom w:w="0" w:type="dxa"/>
          </w:tblCellMar>
        </w:tblPrEx>
        <w:tc>
          <w:tcPr>
            <w:tcW w:w="1300" w:type="dxa"/>
            <w:vMerge w:val="restart"/>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1039657" w14:textId="77777777" w:rsidR="00407089" w:rsidRDefault="00A873AC">
            <w:r>
              <w:rPr>
                <w:b/>
                <w:bCs/>
                <w:sz w:val="18"/>
                <w:szCs w:val="18"/>
              </w:rPr>
              <w:lastRenderedPageBreak/>
              <w:t>Variable Dependiente (VD): Eficacia del sistema MI-CNN-LSTM en la predicción y estabilización del gas de pirólisis</w:t>
            </w:r>
          </w:p>
        </w:tc>
        <w:tc>
          <w:tcPr>
            <w:tcW w:w="1700" w:type="dxa"/>
            <w:vMerge w:val="restart"/>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1AB6F9B" w14:textId="77777777" w:rsidR="00407089" w:rsidRDefault="00A873AC">
            <w:r>
              <w:rPr>
                <w:sz w:val="18"/>
                <w:szCs w:val="18"/>
              </w:rPr>
              <w:t xml:space="preserve">Precisión con que el modelo MI-CNN-LSTM predice los parámetros del gas de pirólisis (temperatura, valor calorífico, caudal) en la salida del </w:t>
            </w:r>
            <w:r>
              <w:rPr>
                <w:sz w:val="18"/>
                <w:szCs w:val="18"/>
              </w:rPr>
              <w:t>reactor PCCR, y la capacidad del sistema FRBF de suprimir las fluctuaciones de dichos parámetros mediante ajuste inteligente del aire primario.</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E56BA6" w14:textId="77777777" w:rsidR="00407089" w:rsidRDefault="00A873AC">
            <w:r>
              <w:rPr>
                <w:b/>
                <w:bCs/>
                <w:sz w:val="18"/>
                <w:szCs w:val="18"/>
              </w:rPr>
              <w:t>1. Precisión de predicción del modelo</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5F66B7" w14:textId="77777777" w:rsidR="00407089" w:rsidRDefault="00A873AC">
            <w:r>
              <w:rPr>
                <w:sz w:val="18"/>
                <w:szCs w:val="18"/>
              </w:rPr>
              <w:t>RMSE, MAE y R² para temperatura del gas de salida, valor calorífico y caud</w:t>
            </w:r>
            <w:r>
              <w:rPr>
                <w:sz w:val="18"/>
                <w:szCs w:val="18"/>
              </w:rPr>
              <w:t>al; comparación MI-CNN-LSTM vs CNN-LSTM (sin selección MI), MI-CNN y MI-LSTM; mejoras en R²: +9.76%, +13.19%, +0.99% (temperatura, calorías, caudal); reducción RMSE: −27.83%, −21.96%, −10.44%</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F46926" w14:textId="77777777" w:rsidR="00407089" w:rsidRDefault="00A873AC">
            <w:r>
              <w:rPr>
                <w:sz w:val="18"/>
                <w:szCs w:val="18"/>
              </w:rPr>
              <w:t>RMSE en °C / KJ/kg / Nm³/h; MAE; R² (0–1) — menor RMSE/MAE y may</w:t>
            </w:r>
            <w:r>
              <w:rPr>
                <w:sz w:val="18"/>
                <w:szCs w:val="18"/>
              </w:rPr>
              <w:t>or R² = mejor</w:t>
            </w:r>
          </w:p>
        </w:tc>
      </w:tr>
      <w:tr w:rsidR="00407089" w14:paraId="64062EC1" w14:textId="77777777">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14:paraId="459048DC" w14:textId="77777777" w:rsidR="00407089" w:rsidRDefault="00407089"/>
        </w:tc>
        <w:tc>
          <w:tcPr>
            <w:tcW w:w="0" w:type="auto"/>
            <w:vMerge/>
            <w:tcBorders>
              <w:top w:val="single" w:sz="1" w:space="0" w:color="AAAAAA"/>
              <w:left w:val="single" w:sz="1" w:space="0" w:color="AAAAAA"/>
              <w:bottom w:val="single" w:sz="1" w:space="0" w:color="AAAAAA"/>
              <w:right w:val="single" w:sz="1" w:space="0" w:color="AAAAAA"/>
            </w:tcBorders>
          </w:tcPr>
          <w:p w14:paraId="4B480992" w14:textId="77777777" w:rsidR="00407089" w:rsidRDefault="00407089"/>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A4043A" w14:textId="77777777" w:rsidR="00407089" w:rsidRDefault="00A873AC">
            <w:r>
              <w:rPr>
                <w:b/>
                <w:bCs/>
                <w:sz w:val="18"/>
                <w:szCs w:val="18"/>
              </w:rPr>
              <w:t>2. Superioridad del modelo híbrido frente a modelos simples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2E4E9" w14:textId="77777777" w:rsidR="00407089" w:rsidRDefault="00A873AC">
            <w:r>
              <w:rPr>
                <w:sz w:val="18"/>
                <w:szCs w:val="18"/>
              </w:rPr>
              <w:t>Diferencia de RMSE y MAE entre MI-CNN-LSTM y MI-CNN, MI-LSTM, CNN-LSTM; mejoras en temperatura: R² +5.55%/+1.49%, RMSE −19.25%/−6.73%; en caudal: RMSE −38.19%/−24.54%; generalización en 5 subconjuntos (D1–D5)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548F31" w14:textId="77777777" w:rsidR="00407089" w:rsidRDefault="00A873AC">
            <w:r>
              <w:rPr>
                <w:sz w:val="18"/>
                <w:szCs w:val="18"/>
              </w:rPr>
              <w:t>Δ RMSE (%) / Δ MAE (%) / Δ R² (%) — menor desvi</w:t>
            </w:r>
            <w:r>
              <w:rPr>
                <w:sz w:val="18"/>
                <w:szCs w:val="18"/>
              </w:rPr>
              <w:t>ación estándar = mayor estabilidad</w:t>
            </w:r>
          </w:p>
        </w:tc>
      </w:tr>
      <w:tr w:rsidR="00407089" w14:paraId="0F57311E" w14:textId="77777777">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14:paraId="5C3C87CA" w14:textId="77777777" w:rsidR="00407089" w:rsidRDefault="00407089"/>
        </w:tc>
        <w:tc>
          <w:tcPr>
            <w:tcW w:w="0" w:type="auto"/>
            <w:vMerge/>
            <w:tcBorders>
              <w:top w:val="single" w:sz="1" w:space="0" w:color="AAAAAA"/>
              <w:left w:val="single" w:sz="1" w:space="0" w:color="AAAAAA"/>
              <w:bottom w:val="single" w:sz="1" w:space="0" w:color="AAAAAA"/>
              <w:right w:val="single" w:sz="1" w:space="0" w:color="AAAAAA"/>
            </w:tcBorders>
          </w:tcPr>
          <w:p w14:paraId="19323CE2" w14:textId="77777777" w:rsidR="00407089" w:rsidRDefault="00407089"/>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565E2D" w14:textId="77777777" w:rsidR="00407089" w:rsidRDefault="00A873AC">
            <w:r>
              <w:rPr>
                <w:b/>
                <w:bCs/>
                <w:sz w:val="18"/>
                <w:szCs w:val="18"/>
              </w:rPr>
              <w:t>3. Efectividad de la compensación inteligente FRBF</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67C768" w14:textId="77777777" w:rsidR="00407089" w:rsidRDefault="00A873AC">
            <w:r>
              <w:rPr>
                <w:sz w:val="18"/>
                <w:szCs w:val="18"/>
              </w:rPr>
              <w:t>Reducción de desviación estándar del caudal de aire primario (−44.8%) y temperatura del aire primario (−29.47%); reducción de desviaciones en temperatura del gas (−9.58%), valor calorífico (−14.36%) y caudal (−24.3%); comparación método manual vs inteligen</w:t>
            </w:r>
            <w:r>
              <w:rPr>
                <w:sz w:val="18"/>
                <w:szCs w:val="18"/>
              </w:rPr>
              <w:t>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599934" w14:textId="77777777" w:rsidR="00407089" w:rsidRDefault="00A873AC">
            <w:r>
              <w:rPr>
                <w:sz w:val="18"/>
                <w:szCs w:val="18"/>
              </w:rPr>
              <w:t>Desviación estándar (Nm³/h, °C, MJ/kg); desviación máxima absoluta — menor SD = mayor estabilidad</w:t>
            </w:r>
          </w:p>
        </w:tc>
      </w:tr>
    </w:tbl>
    <w:p w14:paraId="1F03FB7B" w14:textId="77777777" w:rsidR="00407089" w:rsidRDefault="00407089">
      <w:pPr>
        <w:spacing w:after="240"/>
      </w:pPr>
    </w:p>
    <w:p w14:paraId="76D35E45" w14:textId="77777777" w:rsidR="00407089" w:rsidRDefault="00A873AC">
      <w:pPr>
        <w:pStyle w:val="Ttulo2"/>
        <w:spacing w:before="300" w:after="150"/>
      </w:pPr>
      <w:r>
        <w:t>Estado del Arte</w:t>
      </w:r>
    </w:p>
    <w:p w14:paraId="25D46CF0" w14:textId="77777777" w:rsidR="00407089" w:rsidRDefault="00A873AC">
      <w:pPr>
        <w:spacing w:after="100"/>
      </w:pPr>
      <w:r>
        <w:rPr>
          <w:b/>
          <w:bCs/>
        </w:rPr>
        <w:t xml:space="preserve">Artículo 2: </w:t>
      </w:r>
      <w:proofErr w:type="spellStart"/>
      <w:r>
        <w:t>Suppression</w:t>
      </w:r>
      <w:proofErr w:type="spellEnd"/>
      <w:r>
        <w:t xml:space="preserve"> </w:t>
      </w:r>
      <w:proofErr w:type="spellStart"/>
      <w:r>
        <w:t>strategies</w:t>
      </w:r>
      <w:proofErr w:type="spellEnd"/>
      <w:r>
        <w:t xml:space="preserve"> </w:t>
      </w:r>
      <w:proofErr w:type="spellStart"/>
      <w:r>
        <w:t>for</w:t>
      </w:r>
      <w:proofErr w:type="spellEnd"/>
      <w:r>
        <w:t xml:space="preserve"> </w:t>
      </w:r>
      <w:proofErr w:type="spellStart"/>
      <w:r>
        <w:t>pyrolysis</w:t>
      </w:r>
      <w:proofErr w:type="spellEnd"/>
      <w:r>
        <w:t xml:space="preserve"> gas </w:t>
      </w:r>
      <w:proofErr w:type="spellStart"/>
      <w:r>
        <w:t>parameter</w:t>
      </w:r>
      <w:proofErr w:type="spellEnd"/>
      <w:r>
        <w:t xml:space="preserve"> </w:t>
      </w:r>
      <w:proofErr w:type="spellStart"/>
      <w:r>
        <w:t>fluctuations</w:t>
      </w:r>
      <w:proofErr w:type="spellEnd"/>
      <w:r>
        <w:t xml:space="preserve"> in </w:t>
      </w:r>
      <w:proofErr w:type="spellStart"/>
      <w:r>
        <w:t>small</w:t>
      </w:r>
      <w:proofErr w:type="spellEnd"/>
      <w:r>
        <w:t xml:space="preserve"> </w:t>
      </w:r>
      <w:proofErr w:type="spellStart"/>
      <w:r>
        <w:t>pyrolysis-combustion</w:t>
      </w:r>
      <w:proofErr w:type="spellEnd"/>
      <w:r>
        <w:t xml:space="preserve"> </w:t>
      </w:r>
      <w:proofErr w:type="spellStart"/>
      <w:r>
        <w:t>coupled</w:t>
      </w:r>
      <w:proofErr w:type="spellEnd"/>
      <w:r>
        <w:t xml:space="preserve"> </w:t>
      </w:r>
      <w:proofErr w:type="spellStart"/>
      <w:r>
        <w:t>reactors</w:t>
      </w:r>
      <w:proofErr w:type="spellEnd"/>
      <w:r>
        <w:t xml:space="preserve"> </w:t>
      </w:r>
      <w:proofErr w:type="spellStart"/>
      <w:r>
        <w:t>for</w:t>
      </w:r>
      <w:proofErr w:type="spellEnd"/>
      <w:r>
        <w:t xml:space="preserve"> MSW</w:t>
      </w:r>
    </w:p>
    <w:p w14:paraId="6163EE01" w14:textId="77777777" w:rsidR="00407089" w:rsidRDefault="00A873AC">
      <w:pPr>
        <w:spacing w:after="100"/>
      </w:pPr>
      <w:proofErr w:type="spellStart"/>
      <w:r>
        <w:rPr>
          <w:b/>
          <w:bCs/>
        </w:rPr>
        <w:t>Author</w:t>
      </w:r>
      <w:proofErr w:type="spellEnd"/>
      <w:r>
        <w:rPr>
          <w:b/>
          <w:bCs/>
        </w:rPr>
        <w:t xml:space="preserve">(s): </w:t>
      </w:r>
      <w:proofErr w:type="spellStart"/>
      <w:r>
        <w:t>Shuhui</w:t>
      </w:r>
      <w:proofErr w:type="spellEnd"/>
      <w:r>
        <w:t xml:space="preserve"> Wang, </w:t>
      </w:r>
      <w:proofErr w:type="spellStart"/>
      <w:r>
        <w:t>Jianxiong</w:t>
      </w:r>
      <w:proofErr w:type="spellEnd"/>
      <w:r>
        <w:t xml:space="preserve"> Zhang, Jun Fu, Lin Wang, </w:t>
      </w:r>
      <w:proofErr w:type="spellStart"/>
      <w:r>
        <w:t>Zhifeng</w:t>
      </w:r>
      <w:proofErr w:type="spellEnd"/>
      <w:r>
        <w:t xml:space="preserve"> He, Zheng Yan</w:t>
      </w:r>
    </w:p>
    <w:p w14:paraId="51AE8CC1" w14:textId="77777777" w:rsidR="00407089" w:rsidRDefault="00A873AC">
      <w:pPr>
        <w:spacing w:after="100"/>
      </w:pPr>
      <w:r>
        <w:rPr>
          <w:b/>
          <w:bCs/>
        </w:rPr>
        <w:t xml:space="preserve">Institución: </w:t>
      </w:r>
      <w:proofErr w:type="spellStart"/>
      <w:r>
        <w:t>Shaoyang</w:t>
      </w:r>
      <w:proofErr w:type="spellEnd"/>
      <w:r>
        <w:t xml:space="preserve"> </w:t>
      </w:r>
      <w:proofErr w:type="spellStart"/>
      <w:r>
        <w:t>University</w:t>
      </w:r>
      <w:proofErr w:type="spellEnd"/>
      <w:r>
        <w:t xml:space="preserve"> / Hunan </w:t>
      </w:r>
      <w:proofErr w:type="spellStart"/>
      <w:r>
        <w:t>Sany</w:t>
      </w:r>
      <w:proofErr w:type="spellEnd"/>
      <w:r>
        <w:t xml:space="preserve"> </w:t>
      </w:r>
      <w:proofErr w:type="spellStart"/>
      <w:r>
        <w:t>Polytechni</w:t>
      </w:r>
      <w:r>
        <w:t>c</w:t>
      </w:r>
      <w:proofErr w:type="spellEnd"/>
      <w:r>
        <w:t xml:space="preserve"> </w:t>
      </w:r>
      <w:proofErr w:type="spellStart"/>
      <w:r>
        <w:t>College</w:t>
      </w:r>
      <w:proofErr w:type="spellEnd"/>
      <w:r>
        <w:t xml:space="preserve"> / </w:t>
      </w:r>
      <w:proofErr w:type="spellStart"/>
      <w:r>
        <w:t>Zunfeng</w:t>
      </w:r>
      <w:proofErr w:type="spellEnd"/>
      <w:r>
        <w:t xml:space="preserve"> </w:t>
      </w:r>
      <w:proofErr w:type="spellStart"/>
      <w:r>
        <w:t>Environmental</w:t>
      </w:r>
      <w:proofErr w:type="spellEnd"/>
      <w:r>
        <w:t xml:space="preserve"> </w:t>
      </w:r>
      <w:proofErr w:type="spellStart"/>
      <w:r>
        <w:t>Technology</w:t>
      </w:r>
      <w:proofErr w:type="spellEnd"/>
      <w:r>
        <w:t xml:space="preserve"> Co., </w:t>
      </w:r>
      <w:proofErr w:type="spellStart"/>
      <w:r>
        <w:t>Ltd</w:t>
      </w:r>
      <w:proofErr w:type="spellEnd"/>
      <w:r>
        <w:t>, China</w:t>
      </w:r>
    </w:p>
    <w:p w14:paraId="305AB3A3" w14:textId="77777777" w:rsidR="00407089" w:rsidRDefault="00A873AC">
      <w:pPr>
        <w:spacing w:after="100"/>
      </w:pPr>
      <w:r>
        <w:rPr>
          <w:b/>
          <w:bCs/>
        </w:rPr>
        <w:t xml:space="preserve">Revista: </w:t>
      </w:r>
      <w:proofErr w:type="spellStart"/>
      <w:r>
        <w:t>Results</w:t>
      </w:r>
      <w:proofErr w:type="spellEnd"/>
      <w:r>
        <w:t xml:space="preserve"> in </w:t>
      </w:r>
      <w:proofErr w:type="spellStart"/>
      <w:r>
        <w:t>Engineering</w:t>
      </w:r>
      <w:proofErr w:type="spellEnd"/>
      <w:r>
        <w:t xml:space="preserve"> 27 (2025) 105967 | DOI: 10.1016/j.rineng.2025.105967</w:t>
      </w:r>
    </w:p>
    <w:p w14:paraId="22AA40CB" w14:textId="77777777" w:rsidR="00407089" w:rsidRDefault="00407089">
      <w:pPr>
        <w:spacing w:after="120"/>
      </w:pPr>
    </w:p>
    <w:p w14:paraId="788477A5" w14:textId="77777777" w:rsidR="00407089" w:rsidRDefault="00A873AC">
      <w:pPr>
        <w:pStyle w:val="Ttulo3"/>
        <w:spacing w:before="300" w:after="150"/>
      </w:pPr>
      <w:r>
        <w:t>1. Estado del arte que hace el autor</w:t>
      </w:r>
    </w:p>
    <w:p w14:paraId="0CEEF539" w14:textId="77777777" w:rsidR="00407089" w:rsidRDefault="00A873AC">
      <w:pPr>
        <w:spacing w:after="120"/>
      </w:pPr>
      <w:r>
        <w:t>Los autores contextualizan el trabajo dentro del campo del modelado y control de procesos de incineración de residuos sólidos urbanos (RSU). Identifican que los enfoques previos se dividen en cuatro categorías: modelado por mecanismo (modelos matemáticos b</w:t>
      </w:r>
      <w:r>
        <w:t xml:space="preserve">asados en principios físico-químicos, como el trabajo de Zhou et al. que optimizó el suministro de aire mediante simulación numérica reduciendo </w:t>
      </w:r>
      <w:proofErr w:type="spellStart"/>
      <w:r>
        <w:t>NOx</w:t>
      </w:r>
      <w:proofErr w:type="spellEnd"/>
      <w:r>
        <w:t>, y Yang et al. que analizó un incinerador de 350 t/d); modelado por conocimiento (reglas de expertos con lim</w:t>
      </w:r>
      <w:r>
        <w:t>itaciones de complejidad y flexibilidad); modelado por datos (SVM, redes neuronales — Chen et al. predijo parámetros de vapor en incineradoras con BAS-SVM; Li et al. propuso un esquema de optimización KELM para modelos de indicadores de producción); y mode</w:t>
      </w:r>
      <w:r>
        <w:t xml:space="preserve">lado integrado (métodos combinados). Se menciona también el trabajo de </w:t>
      </w:r>
      <w:proofErr w:type="spellStart"/>
      <w:r>
        <w:t>Ding</w:t>
      </w:r>
      <w:proofErr w:type="spellEnd"/>
      <w:r>
        <w:t xml:space="preserve"> et al. que </w:t>
      </w:r>
      <w:r>
        <w:lastRenderedPageBreak/>
        <w:t>propuso un método inteligente para ajuste de volumen de aire secundario integrando razonamiento de casos, predicción de indicadores y compensación inteligente. En cuanto</w:t>
      </w:r>
      <w:r>
        <w:t xml:space="preserve"> a arquitecturas de redes neuronales, se identifican antecedentes de CNN-LSTM en predicción de respuesta sísmica (</w:t>
      </w:r>
      <w:proofErr w:type="spellStart"/>
      <w:r>
        <w:t>Xue</w:t>
      </w:r>
      <w:proofErr w:type="spellEnd"/>
      <w:r>
        <w:t xml:space="preserve"> et al. 2024), control de sistemas industriales complejos y predicción de temperatura de vapor en centrales de carbón (Zhang et al. 2025).</w:t>
      </w:r>
    </w:p>
    <w:p w14:paraId="46423DFC" w14:textId="77777777" w:rsidR="00407089" w:rsidRDefault="00A873AC">
      <w:pPr>
        <w:pStyle w:val="Ttulo3"/>
        <w:spacing w:before="300" w:after="150"/>
      </w:pPr>
      <w:r>
        <w:t>2. Motivación del autor (críticas a trabajos anteriores)</w:t>
      </w:r>
    </w:p>
    <w:p w14:paraId="7650C1D0" w14:textId="77777777" w:rsidR="00407089" w:rsidRDefault="00A873AC">
      <w:pPr>
        <w:spacing w:after="120"/>
      </w:pPr>
      <w:r>
        <w:t>Los autores señalan que el modelado por mecanismo resulta inadecuado para el proceso de incineración en pequeños reactores PCCR, debido a sus características no lineales y fuertemente acopladas que d</w:t>
      </w:r>
      <w:r>
        <w:t>ificultan construir un modelo preciso. El modelado por conocimiento basado en reglas de expertos no considera la variabilidad de las condiciones operativas y no puede ajustar dinámicamente los valores de referencia. Los métodos de datos existentes presenta</w:t>
      </w:r>
      <w:r>
        <w:t xml:space="preserve">n riesgos de sobreajuste, altos requerimientos computacionales e imperfecta transmisión de información que degrada el rendimiento. Ningún trabajo previo había abordado simultáneamente la predicción de los tres parámetros del gas de pirólisis (temperatura, </w:t>
      </w:r>
      <w:r>
        <w:t>valor calorífico y caudal) y la compensación dinámica del flujo y temperatura del aire primario en reactores de pequeña capacidad térmica (PCCR). La pequeña capacidad calorífica del reactor hace que los cambios en las características de los residuos produz</w:t>
      </w:r>
      <w:r>
        <w:t>can fluctuaciones grandes en los parámetros del gas, afectando la combustión secundaria y las emisiones.</w:t>
      </w:r>
    </w:p>
    <w:p w14:paraId="13283D87" w14:textId="77777777" w:rsidR="00407089" w:rsidRDefault="00A873AC">
      <w:pPr>
        <w:pStyle w:val="Ttulo3"/>
        <w:spacing w:before="300" w:after="150"/>
      </w:pPr>
      <w:r>
        <w:t>3. Descripción del aporte del autor</w:t>
      </w:r>
    </w:p>
    <w:p w14:paraId="09CD2C5A" w14:textId="77777777" w:rsidR="00407089" w:rsidRDefault="00A873AC">
      <w:pPr>
        <w:spacing w:after="120"/>
      </w:pPr>
      <w:r>
        <w:t>Se propone un método de medición indirecta (</w:t>
      </w:r>
      <w:proofErr w:type="spellStart"/>
      <w:r>
        <w:t>soft</w:t>
      </w:r>
      <w:proofErr w:type="spellEnd"/>
      <w:r>
        <w:t xml:space="preserve"> </w:t>
      </w:r>
      <w:proofErr w:type="spellStart"/>
      <w:r>
        <w:t>sensing</w:t>
      </w:r>
      <w:proofErr w:type="spellEnd"/>
      <w:r>
        <w:t>) basado en MI-CNN-LSTM para predecir en tiempo real los pa</w:t>
      </w:r>
      <w:r>
        <w:t>rámetros del gas de pirólisis de salida del reactor PCCR: temperatura, valor calorífico y caudal. La selección de variables mediante Información Mutua (MI) reduce de 15 a 9 las variables de entrada, mejorando la eficiencia y precisión. El modelo híbrido CN</w:t>
      </w:r>
      <w:r>
        <w:t>N-LSTM combina la extracción de características locales de la CNN con la capacidad de la LSTM para manejar dependencias temporales. La predicción se alimenta a un modelo de compensación FRBF (</w:t>
      </w:r>
      <w:proofErr w:type="spellStart"/>
      <w:r>
        <w:t>Fuzzy</w:t>
      </w:r>
      <w:proofErr w:type="spellEnd"/>
      <w:r>
        <w:t xml:space="preserve"> Radial Basis </w:t>
      </w:r>
      <w:proofErr w:type="spellStart"/>
      <w:r>
        <w:t>Function</w:t>
      </w:r>
      <w:proofErr w:type="spellEnd"/>
      <w:r>
        <w:t xml:space="preserve">) que ajusta dinámicamente el caudal </w:t>
      </w:r>
      <w:r>
        <w:t>y temperatura del aire primario para suprimir las fluctuaciones del gas de salida. El sistema de compensación inteligente supera al método manual en precisión y estabilidad.</w:t>
      </w:r>
    </w:p>
    <w:p w14:paraId="1F2B370A" w14:textId="77777777" w:rsidR="00407089" w:rsidRDefault="00A873AC">
      <w:pPr>
        <w:pStyle w:val="Ttulo3"/>
        <w:spacing w:before="300" w:after="150"/>
      </w:pPr>
      <w:r>
        <w:t>4. Proceso para obtener el aporte</w:t>
      </w:r>
    </w:p>
    <w:p w14:paraId="57EB32E7" w14:textId="77777777" w:rsidR="00407089" w:rsidRDefault="00A873AC">
      <w:pPr>
        <w:spacing w:after="120"/>
      </w:pPr>
      <w:r>
        <w:t>Datos experimentales recolectados en julio de 20</w:t>
      </w:r>
      <w:r>
        <w:t>24 de una planta de incineración de residuos en Beijing. Se utilizaron 300 conjuntos de datos correspondientes a 15 parámetros de proceso (temperaturas, presiones, caudales medidos con sensores tipo R, transmisores de presión de alta temperatura, analizado</w:t>
      </w:r>
      <w:r>
        <w:t>res de O₂ y flujómetros). Muestreo estratificado: 200 muestras para entrenamiento y 100 para prueba (ratio 2:1). La selección de variables se realizó calculando la Información Mutua entre cada variable de entrada y los tres parámetros de salida, eliminando</w:t>
      </w:r>
      <w:r>
        <w:t xml:space="preserve"> las 6 variables con MI menor al umbral (1.429, media de todos los valores MI). El modelo CNN-LSTM se entrenó con los 9 parámetros seleccionados. Se realizaron 10 experimentos independientes repetidos para asegurar reproducibilidad. La validación de genera</w:t>
      </w:r>
      <w:r>
        <w:t>lización utilizó validación cruzada en 5 subconjuntos (D1–D5). Las reglas difusas del modelo FRBF se derivaron de la experiencia operativa manual.</w:t>
      </w:r>
    </w:p>
    <w:p w14:paraId="750CB190" w14:textId="77777777" w:rsidR="00407089" w:rsidRDefault="00A873AC">
      <w:pPr>
        <w:pStyle w:val="Ttulo3"/>
        <w:spacing w:before="300" w:after="150"/>
      </w:pPr>
      <w:r>
        <w:t>5. Proceso para resolver el problema</w:t>
      </w:r>
    </w:p>
    <w:p w14:paraId="0304E5DD" w14:textId="77777777" w:rsidR="00407089" w:rsidRDefault="00A873AC">
      <w:pPr>
        <w:spacing w:after="120"/>
      </w:pPr>
      <w:r>
        <w:t>El flujo de procesamiento es: (1) Normalización min-</w:t>
      </w:r>
      <w:proofErr w:type="spellStart"/>
      <w:r>
        <w:t>max</w:t>
      </w:r>
      <w:proofErr w:type="spellEnd"/>
      <w:r>
        <w:t xml:space="preserve"> de los datos de entrada para eliminar el impacto dimensional; (2) Cálculo de MI para cada variable de entrada con respecto a cada parámetro de salida y selección de las 9 variables más correlacionadas</w:t>
      </w:r>
      <w:r>
        <w:t xml:space="preserve">; (3) Entrenamiento del modelo CNN-LSTM con arquitectura: capa de entrada (9 nodos) → capa convolucional 1D (extracción de características locales) → capa de </w:t>
      </w:r>
      <w:proofErr w:type="spellStart"/>
      <w:r>
        <w:t>pooling</w:t>
      </w:r>
      <w:proofErr w:type="spellEnd"/>
      <w:r>
        <w:t xml:space="preserve"> medio → capa LSTM (dependencias temporales) → capa </w:t>
      </w:r>
      <w:r>
        <w:lastRenderedPageBreak/>
        <w:t>totalmente conectada → salida (3 paráme</w:t>
      </w:r>
      <w:r>
        <w:t xml:space="preserve">tros); (4) Las desviaciones </w:t>
      </w:r>
      <w:proofErr w:type="spellStart"/>
      <w:r>
        <w:t>Δx</w:t>
      </w:r>
      <w:proofErr w:type="spellEnd"/>
      <w:r>
        <w:t xml:space="preserve">₁, </w:t>
      </w:r>
      <w:proofErr w:type="spellStart"/>
      <w:r>
        <w:t>Δx</w:t>
      </w:r>
      <w:proofErr w:type="spellEnd"/>
      <w:r>
        <w:t xml:space="preserve">₂, </w:t>
      </w:r>
      <w:proofErr w:type="spellStart"/>
      <w:r>
        <w:t>Δx</w:t>
      </w:r>
      <w:proofErr w:type="spellEnd"/>
      <w:r>
        <w:t xml:space="preserve">₃ entre los valores predichos y los objetivos se introducen en el modelo FRBF con 27 reglas difusas (subconjuntos PO, ZE, NE) para obtener los valores de compensación </w:t>
      </w:r>
      <w:proofErr w:type="spellStart"/>
      <w:r>
        <w:t>Δy</w:t>
      </w:r>
      <w:proofErr w:type="spellEnd"/>
      <w:r>
        <w:t xml:space="preserve">₁ (caudal de aire primario) y </w:t>
      </w:r>
      <w:proofErr w:type="spellStart"/>
      <w:r>
        <w:t>Δy</w:t>
      </w:r>
      <w:proofErr w:type="spellEnd"/>
      <w:r>
        <w:t xml:space="preserve">₂ (temperatura </w:t>
      </w:r>
      <w:r>
        <w:t>de aire primario); (5) El valor de consigna del reactor = valor objetivo + valor de compensación.</w:t>
      </w:r>
    </w:p>
    <w:p w14:paraId="6DF30F32" w14:textId="77777777" w:rsidR="00407089" w:rsidRDefault="00A873AC">
      <w:pPr>
        <w:pStyle w:val="Ttulo3"/>
        <w:spacing w:before="300" w:after="150"/>
      </w:pPr>
      <w:r>
        <w:t>6. Métricas y resultados</w:t>
      </w:r>
    </w:p>
    <w:p w14:paraId="209AEF0C" w14:textId="77777777" w:rsidR="00407089" w:rsidRDefault="00A873AC">
      <w:pPr>
        <w:spacing w:after="120"/>
      </w:pPr>
      <w:r>
        <w:t>Para la temperatura del gas de salida: MI-CNN-LSTM logró R² = 0.9121 ± 0.0055, RMSE = 7.0588 ± 0.2205 °C, MAE = 5.5378 ± 0.1981 °C, r</w:t>
      </w:r>
      <w:r>
        <w:t>epresentando mejoras de +9.76%, −27.83% y −25.05% respectivamente frente al CNN-LSTM sin selección MI. Para el valor calorífico: R² = 0.8469 ± 0.0043, RMSE = 44.9627 ± 0.6271 KJ/kg, con mejoras de +13.19%, −21.96%, −21.46%. Para el caudal de gas: R² = 0.96</w:t>
      </w:r>
      <w:r>
        <w:t>21 ± 0.0018, RMSE = 12.0546 ± 0.2838 Nm³/h. La compensación inteligente FRBF redujo la desviación estándar del caudal de aire primario en 7.33 Nm³/h (44.80%) y la de la temperatura del aire primario en 1.17°C (29.47%), comparado con el método manual. Las d</w:t>
      </w:r>
      <w:r>
        <w:t>esviaciones estándar del gas de salida se redujeron: temperatura −1.42°C (9.58%), valor calorífico −11.05 MJ/kg (14.36%), caudal −9.99 Nm³/h (24.30%).</w:t>
      </w:r>
    </w:p>
    <w:p w14:paraId="72D16FE8" w14:textId="77777777" w:rsidR="00407089" w:rsidRDefault="00A873AC">
      <w:pPr>
        <w:pStyle w:val="Ttulo3"/>
        <w:spacing w:before="300" w:after="150"/>
      </w:pPr>
      <w:r>
        <w:t>7. Observaciones y críticas propias</w:t>
      </w:r>
    </w:p>
    <w:p w14:paraId="67BEFB3C" w14:textId="77777777" w:rsidR="00407089" w:rsidRDefault="00A873AC">
      <w:pPr>
        <w:spacing w:after="120"/>
      </w:pPr>
      <w:r>
        <w:t>(1) La muestra experimental es pequeña (300 conjuntos de datos de una</w:t>
      </w:r>
      <w:r>
        <w:t xml:space="preserve"> sola planta de Beijing, julio 2024), lo que limita la generalización a otras condiciones operativas, tipos de residuos o escalas de reactor. (2) El modelo no incorpora mecanismos de atención ni arquitecturas </w:t>
      </w:r>
      <w:proofErr w:type="spellStart"/>
      <w:r>
        <w:t>Transformer</w:t>
      </w:r>
      <w:proofErr w:type="spellEnd"/>
      <w:r>
        <w:t>, que podrían capturar relaciones de</w:t>
      </w:r>
      <w:r>
        <w:t xml:space="preserve"> largo alcance en las series temporales de manera más efectiva según la literatura reciente. (3) Las 27 reglas difusas del FRBF se derivan de experiencia operativa manual, lo que introduce un componente subjetivo y limita la adaptabilidad automática ante c</w:t>
      </w:r>
      <w:r>
        <w:t>ondiciones inéditas. (4) El estudio no aborda la propagación de incertidumbre en las predicciones ni intervalos de confianza, aspectos críticos para aplicaciones de control en seguridad industrial. (5) El alcance se restringe a la supresión de fluctuacione</w:t>
      </w:r>
      <w:r>
        <w:t>s en parámetros del gas sin integrar el modelo con el sistema completo de control de emisiones y contaminantes de la planta. (6) Los resultados son directamente relevantes para el diseño de sistemas de monitoreo inteligente de reactores de pirólisis de res</w:t>
      </w:r>
      <w:r>
        <w:t xml:space="preserve">iduos plásticos, especialmente en aplicaciones donde la pequeña escala y la variabilidad del </w:t>
      </w:r>
      <w:proofErr w:type="spellStart"/>
      <w:r>
        <w:t>feedstock</w:t>
      </w:r>
      <w:proofErr w:type="spellEnd"/>
      <w:r>
        <w:t xml:space="preserve"> son desafíos operativos fundamentales.</w:t>
      </w:r>
    </w:p>
    <w:sectPr w:rsidR="004070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B1A34"/>
    <w:multiLevelType w:val="hybridMultilevel"/>
    <w:tmpl w:val="014AB8E8"/>
    <w:lvl w:ilvl="0" w:tplc="516AD0B8">
      <w:start w:val="1"/>
      <w:numFmt w:val="bullet"/>
      <w:lvlText w:val="●"/>
      <w:lvlJc w:val="left"/>
      <w:pPr>
        <w:ind w:left="720" w:hanging="360"/>
      </w:pPr>
    </w:lvl>
    <w:lvl w:ilvl="1" w:tplc="BB74E198">
      <w:start w:val="1"/>
      <w:numFmt w:val="bullet"/>
      <w:lvlText w:val="○"/>
      <w:lvlJc w:val="left"/>
      <w:pPr>
        <w:ind w:left="1440" w:hanging="360"/>
      </w:pPr>
    </w:lvl>
    <w:lvl w:ilvl="2" w:tplc="37647382">
      <w:start w:val="1"/>
      <w:numFmt w:val="bullet"/>
      <w:lvlText w:val="■"/>
      <w:lvlJc w:val="left"/>
      <w:pPr>
        <w:ind w:left="2160" w:hanging="360"/>
      </w:pPr>
    </w:lvl>
    <w:lvl w:ilvl="3" w:tplc="9B08EA30">
      <w:start w:val="1"/>
      <w:numFmt w:val="bullet"/>
      <w:lvlText w:val="●"/>
      <w:lvlJc w:val="left"/>
      <w:pPr>
        <w:ind w:left="2880" w:hanging="360"/>
      </w:pPr>
    </w:lvl>
    <w:lvl w:ilvl="4" w:tplc="C87E18C8">
      <w:start w:val="1"/>
      <w:numFmt w:val="bullet"/>
      <w:lvlText w:val="○"/>
      <w:lvlJc w:val="left"/>
      <w:pPr>
        <w:ind w:left="3600" w:hanging="360"/>
      </w:pPr>
    </w:lvl>
    <w:lvl w:ilvl="5" w:tplc="F9389EF6">
      <w:start w:val="1"/>
      <w:numFmt w:val="bullet"/>
      <w:lvlText w:val="■"/>
      <w:lvlJc w:val="left"/>
      <w:pPr>
        <w:ind w:left="4320" w:hanging="360"/>
      </w:pPr>
    </w:lvl>
    <w:lvl w:ilvl="6" w:tplc="C4D4AC74">
      <w:start w:val="1"/>
      <w:numFmt w:val="bullet"/>
      <w:lvlText w:val="●"/>
      <w:lvlJc w:val="left"/>
      <w:pPr>
        <w:ind w:left="5040" w:hanging="360"/>
      </w:pPr>
    </w:lvl>
    <w:lvl w:ilvl="7" w:tplc="8E68B606">
      <w:start w:val="1"/>
      <w:numFmt w:val="bullet"/>
      <w:lvlText w:val="●"/>
      <w:lvlJc w:val="left"/>
      <w:pPr>
        <w:ind w:left="5760" w:hanging="360"/>
      </w:pPr>
    </w:lvl>
    <w:lvl w:ilvl="8" w:tplc="7A0CBA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89"/>
    <w:rsid w:val="00122E31"/>
    <w:rsid w:val="00407089"/>
    <w:rsid w:val="00A873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BE11"/>
  <w15:docId w15:val="{519AF18E-3366-4FE9-8D80-85C4A3EEC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4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1706</Words>
  <Characters>9389</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Junior Quispe Aquino</cp:lastModifiedBy>
  <cp:revision>3</cp:revision>
  <dcterms:created xsi:type="dcterms:W3CDTF">2026-06-06T01:20:00Z</dcterms:created>
  <dcterms:modified xsi:type="dcterms:W3CDTF">2026-06-06T01:22:00Z</dcterms:modified>
</cp:coreProperties>
</file>