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rFonts w:ascii="Arial" w:hAnsi="Arial"/>
          <w:b/>
          <w:color w:val="1F4E79"/>
          <w:sz w:val="32"/>
        </w:rPr>
        <w:t>Art?culo 1 ? Research on odor prediction methods for coal spontaneous combustion based on E-nose technology</w:t>
      </w:r>
    </w:p>
    <w:p>
      <w:pPr>
        <w:spacing w:after="200"/>
        <w:jc w:val="center"/>
      </w:pPr>
      <w:r>
        <w:rPr>
          <w:rFonts w:ascii="Arial" w:hAnsi="Arial"/>
          <w:i/>
          <w:sz w:val="22"/>
        </w:rPr>
        <w:t>Matriz de operacionalizaci?n y estado del arte</w:t>
      </w:r>
    </w:p>
    <w:tbl>
      <w:tblPr>
        <w:tblStyle w:val="TableGrid"/>
        <w:tblW w:type="dxa" w:w="13800"/>
        <w:jc w:val="center"/>
        <w:tblLook w:firstColumn="1" w:firstRow="1" w:lastColumn="0" w:lastRow="0" w:noHBand="0" w:noVBand="1" w:val="04A0"/>
        <w:tblLayout w:type="fixed"/>
      </w:tblPr>
      <w:tblGrid>
        <w:gridCol w:w="1600"/>
        <w:gridCol w:w="12200"/>
      </w:tblGrid>
      <w:tr>
        <w:tc>
          <w:tcPr>
            <w:tcW w:type="dxa" w:w="1600"/>
            <w:shd w:fill="D9EAF7"/>
            <w:vAlign w:val="center"/>
            <w:tcMar>
              <w:top w:w="80" w:type="dxa"/>
              <w:start w:w="120" w:type="dxa"/>
              <w:bottom w:w="80" w:type="dxa"/>
              <w:end w:w="120" w:type="dxa"/>
            </w:tcMar>
          </w:tcPr>
          <w:p>
            <w:r>
              <w:rPr>
                <w:rFonts w:ascii="Arial" w:hAnsi="Arial"/>
                <w:sz w:val="18"/>
              </w:rPr>
              <w:t>Autores</w:t>
            </w:r>
          </w:p>
        </w:tc>
        <w:tc>
          <w:tcPr>
            <w:tcW w:type="dxa" w:w="12200"/>
            <w:vAlign w:val="center"/>
            <w:tcMar>
              <w:top w:w="80" w:type="dxa"/>
              <w:start w:w="120" w:type="dxa"/>
              <w:bottom w:w="80" w:type="dxa"/>
              <w:end w:w="120" w:type="dxa"/>
            </w:tcMar>
          </w:tcPr>
          <w:p>
            <w:r>
              <w:rPr>
                <w:rFonts w:ascii="Arial" w:hAnsi="Arial"/>
                <w:sz w:val="18"/>
              </w:rPr>
              <w:t>Chen Shaojie, He Wentao, Li Dongming, Liang Shuaiheng, Qiao Tong y Duan Zuojin</w:t>
            </w:r>
          </w:p>
        </w:tc>
      </w:tr>
      <w:tr>
        <w:tc>
          <w:tcPr>
            <w:tcW w:type="dxa" w:w="1600"/>
            <w:shd w:fill="D9EAF7"/>
            <w:vAlign w:val="center"/>
            <w:tcMar>
              <w:top w:w="80" w:type="dxa"/>
              <w:start w:w="120" w:type="dxa"/>
              <w:bottom w:w="80" w:type="dxa"/>
              <w:end w:w="120" w:type="dxa"/>
            </w:tcMar>
          </w:tcPr>
          <w:p>
            <w:r>
              <w:rPr>
                <w:rFonts w:ascii="Arial" w:hAnsi="Arial"/>
                <w:sz w:val="18"/>
              </w:rPr>
              <w:t>Instituci?n</w:t>
            </w:r>
          </w:p>
        </w:tc>
        <w:tc>
          <w:tcPr>
            <w:tcW w:type="dxa" w:w="12200"/>
            <w:vAlign w:val="center"/>
            <w:tcMar>
              <w:top w:w="80" w:type="dxa"/>
              <w:start w:w="120" w:type="dxa"/>
              <w:bottom w:w="80" w:type="dxa"/>
              <w:end w:w="120" w:type="dxa"/>
            </w:tcMar>
          </w:tcPr>
          <w:p>
            <w:r>
              <w:rPr>
                <w:rFonts w:ascii="Arial" w:hAnsi="Arial"/>
                <w:sz w:val="18"/>
              </w:rPr>
              <w:t>College of Safety Science and Engineering, North China Institute of Science and Technology, Langfang, Hebei, China</w:t>
            </w:r>
          </w:p>
        </w:tc>
      </w:tr>
      <w:tr>
        <w:tc>
          <w:tcPr>
            <w:tcW w:type="dxa" w:w="1600"/>
            <w:shd w:fill="D9EAF7"/>
            <w:vAlign w:val="center"/>
            <w:tcMar>
              <w:top w:w="80" w:type="dxa"/>
              <w:start w:w="120" w:type="dxa"/>
              <w:bottom w:w="80" w:type="dxa"/>
              <w:end w:w="120" w:type="dxa"/>
            </w:tcMar>
          </w:tcPr>
          <w:p>
            <w:r>
              <w:rPr>
                <w:rFonts w:ascii="Arial" w:hAnsi="Arial"/>
                <w:sz w:val="18"/>
              </w:rPr>
              <w:t>Revista / DOI</w:t>
            </w:r>
          </w:p>
        </w:tc>
        <w:tc>
          <w:tcPr>
            <w:tcW w:type="dxa" w:w="12200"/>
            <w:vAlign w:val="center"/>
            <w:tcMar>
              <w:top w:w="80" w:type="dxa"/>
              <w:start w:w="120" w:type="dxa"/>
              <w:bottom w:w="80" w:type="dxa"/>
              <w:end w:w="120" w:type="dxa"/>
            </w:tcMar>
          </w:tcPr>
          <w:p>
            <w:r>
              <w:rPr>
                <w:rFonts w:ascii="Arial" w:hAnsi="Arial"/>
                <w:sz w:val="18"/>
              </w:rPr>
              <w:t>Scientific Reports 16, 942 (2026) | DOI: 10.1038/s41598-025-30436-0</w:t>
            </w:r>
          </w:p>
        </w:tc>
      </w:tr>
    </w:tbl>
    <w:p/>
    <w:p>
      <w:pPr>
        <w:pStyle w:val="Heading1"/>
      </w:pPr>
      <w:r>
        <w:t>Matriz de operacionalizaci?n</w:t>
      </w:r>
    </w:p>
    <w:p>
      <w:pPr>
        <w:jc w:val="both"/>
      </w:pPr>
      <w:r>
        <w:t>La siguiente tabla presenta las variables del estudio con sus dimensiones e indicadores espec?ficos, derivados del dise?o experimental del art?culo sobre predicci?n de combusti?n espont?nea del carb?n mediante nariz electr?nica y aprendizaje autom?tico.</w:t>
      </w:r>
    </w:p>
    <w:tbl>
      <w:tblPr>
        <w:tblStyle w:val="TableGrid"/>
        <w:tblW w:type="dxa" w:w="16400"/>
        <w:jc w:val="center"/>
        <w:tblLook w:firstColumn="1" w:firstRow="1" w:lastColumn="0" w:lastRow="0" w:noHBand="0" w:noVBand="1" w:val="04A0"/>
        <w:tblLayout w:type="fixed"/>
      </w:tblPr>
      <w:tblGrid>
        <w:gridCol w:w="2600"/>
        <w:gridCol w:w="3300"/>
        <w:gridCol w:w="3000"/>
        <w:gridCol w:w="5200"/>
        <w:gridCol w:w="2300"/>
      </w:tblGrid>
      <w:tr>
        <w:tc>
          <w:tcPr>
            <w:tcW w:type="dxa" w:w="2600"/>
            <w:shd w:fill="D9EAF7"/>
            <w:tcMar>
              <w:top w:w="80" w:type="dxa"/>
              <w:start w:w="120" w:type="dxa"/>
              <w:bottom w:w="80" w:type="dxa"/>
              <w:end w:w="120" w:type="dxa"/>
            </w:tcMar>
            <w:vAlign w:val="center"/>
          </w:tcPr>
          <w:p>
            <w:pPr>
              <w:jc w:val="center"/>
            </w:pPr>
            <w:r>
              <w:rPr>
                <w:rFonts w:ascii="Arial" w:hAnsi="Arial"/>
                <w:b/>
                <w:sz w:val="17"/>
              </w:rPr>
              <w:t>Variable</w:t>
            </w:r>
          </w:p>
        </w:tc>
        <w:tc>
          <w:tcPr>
            <w:tcW w:type="dxa" w:w="3300"/>
            <w:shd w:fill="D9EAF7"/>
            <w:tcMar>
              <w:top w:w="80" w:type="dxa"/>
              <w:start w:w="120" w:type="dxa"/>
              <w:bottom w:w="80" w:type="dxa"/>
              <w:end w:w="120" w:type="dxa"/>
            </w:tcMar>
            <w:vAlign w:val="center"/>
          </w:tcPr>
          <w:p>
            <w:pPr>
              <w:jc w:val="center"/>
            </w:pPr>
            <w:r>
              <w:rPr>
                <w:rFonts w:ascii="Arial" w:hAnsi="Arial"/>
                <w:b/>
                <w:sz w:val="17"/>
              </w:rPr>
              <w:t>Definici?n conceptual</w:t>
            </w:r>
          </w:p>
        </w:tc>
        <w:tc>
          <w:tcPr>
            <w:tcW w:type="dxa" w:w="3000"/>
            <w:shd w:fill="D9EAF7"/>
            <w:tcMar>
              <w:top w:w="80" w:type="dxa"/>
              <w:start w:w="120" w:type="dxa"/>
              <w:bottom w:w="80" w:type="dxa"/>
              <w:end w:w="120" w:type="dxa"/>
            </w:tcMar>
            <w:vAlign w:val="center"/>
          </w:tcPr>
          <w:p>
            <w:pPr>
              <w:jc w:val="center"/>
            </w:pPr>
            <w:r>
              <w:rPr>
                <w:rFonts w:ascii="Arial" w:hAnsi="Arial"/>
                <w:b/>
                <w:sz w:val="17"/>
              </w:rPr>
              <w:t>Dimensiones</w:t>
            </w:r>
          </w:p>
        </w:tc>
        <w:tc>
          <w:tcPr>
            <w:tcW w:type="dxa" w:w="5200"/>
            <w:shd w:fill="D9EAF7"/>
            <w:tcMar>
              <w:top w:w="80" w:type="dxa"/>
              <w:start w:w="120" w:type="dxa"/>
              <w:bottom w:w="80" w:type="dxa"/>
              <w:end w:w="120" w:type="dxa"/>
            </w:tcMar>
            <w:vAlign w:val="center"/>
          </w:tcPr>
          <w:p>
            <w:pPr>
              <w:jc w:val="center"/>
            </w:pPr>
            <w:r>
              <w:rPr>
                <w:rFonts w:ascii="Arial" w:hAnsi="Arial"/>
                <w:b/>
                <w:sz w:val="17"/>
              </w:rPr>
              <w:t>Indicadores</w:t>
            </w:r>
          </w:p>
        </w:tc>
        <w:tc>
          <w:tcPr>
            <w:tcW w:type="dxa" w:w="2300"/>
            <w:shd w:fill="D9EAF7"/>
            <w:tcMar>
              <w:top w:w="80" w:type="dxa"/>
              <w:start w:w="120" w:type="dxa"/>
              <w:bottom w:w="80" w:type="dxa"/>
              <w:end w:w="120" w:type="dxa"/>
            </w:tcMar>
            <w:vAlign w:val="center"/>
          </w:tcPr>
          <w:p>
            <w:pPr>
              <w:jc w:val="center"/>
            </w:pPr>
            <w:r>
              <w:rPr>
                <w:rFonts w:ascii="Arial" w:hAnsi="Arial"/>
                <w:b/>
                <w:sz w:val="17"/>
              </w:rPr>
              <w:t>Escala / Unidad</w:t>
            </w:r>
          </w:p>
        </w:tc>
      </w:tr>
      <w:tr>
        <w:tc>
          <w:tcPr>
            <w:tcW w:type="dxa" w:w="2600"/>
            <w:shd w:fill="F2F6FA"/>
            <w:tcMar>
              <w:top w:w="80" w:type="dxa"/>
              <w:start w:w="120" w:type="dxa"/>
              <w:bottom w:w="80" w:type="dxa"/>
              <w:end w:w="120" w:type="dxa"/>
            </w:tcMar>
            <w:vAlign w:val="center"/>
          </w:tcPr>
          <w:p>
            <w:pPr>
              <w:spacing w:after="0"/>
              <w:jc w:val="left"/>
            </w:pPr>
            <w:r>
              <w:rPr>
                <w:rFonts w:ascii="Arial" w:hAnsi="Arial"/>
                <w:b/>
                <w:sz w:val="16"/>
              </w:rPr>
              <w:t>Variable Independiente (VI): Tecnolog?a de nariz electr?nica programable para detectar olores de combusti?n espont?nea del carb?n</w:t>
            </w:r>
          </w:p>
        </w:tc>
        <w:tc>
          <w:tcPr>
            <w:tcW w:type="dxa" w:w="3300"/>
            <w:tcMar>
              <w:top w:w="80" w:type="dxa"/>
              <w:start w:w="120" w:type="dxa"/>
              <w:bottom w:w="80" w:type="dxa"/>
              <w:end w:w="120" w:type="dxa"/>
            </w:tcMar>
            <w:vAlign w:val="center"/>
          </w:tcPr>
          <w:p>
            <w:pPr>
              <w:spacing w:after="0"/>
              <w:jc w:val="left"/>
            </w:pPr>
            <w:r>
              <w:rPr>
                <w:rFonts w:ascii="Arial" w:hAnsi="Arial"/>
                <w:sz w:val="16"/>
              </w:rPr>
              <w:t>Sistema experimental basado en sensores de gases y calentamiento programado que captura la evoluci?n de compuestos vol?tiles emitidos por lignito entre 30 y 200 ?C.</w:t>
            </w:r>
          </w:p>
        </w:tc>
        <w:tc>
          <w:tcPr>
            <w:tcW w:type="dxa" w:w="3000"/>
            <w:tcMar>
              <w:top w:w="80" w:type="dxa"/>
              <w:start w:w="120" w:type="dxa"/>
              <w:bottom w:w="80" w:type="dxa"/>
              <w:end w:w="120" w:type="dxa"/>
            </w:tcMar>
            <w:vAlign w:val="center"/>
          </w:tcPr>
          <w:p>
            <w:pPr>
              <w:spacing w:after="0"/>
              <w:jc w:val="left"/>
            </w:pPr>
            <w:r>
              <w:rPr>
                <w:rFonts w:ascii="Arial" w:hAnsi="Arial"/>
                <w:sz w:val="16"/>
              </w:rPr>
              <w:t>1. Configuraci?n experimental del carb?n y calentamiento</w:t>
            </w:r>
          </w:p>
        </w:tc>
        <w:tc>
          <w:tcPr>
            <w:tcW w:type="dxa" w:w="5200"/>
            <w:tcMar>
              <w:top w:w="80" w:type="dxa"/>
              <w:start w:w="120" w:type="dxa"/>
              <w:bottom w:w="80" w:type="dxa"/>
              <w:end w:w="120" w:type="dxa"/>
            </w:tcMar>
            <w:vAlign w:val="center"/>
          </w:tcPr>
          <w:p>
            <w:pPr>
              <w:spacing w:after="0"/>
              <w:jc w:val="left"/>
            </w:pPr>
            <w:r>
              <w:rPr>
                <w:rFonts w:ascii="Arial" w:hAnsi="Arial"/>
                <w:sz w:val="16"/>
              </w:rPr>
              <w:t>Tipo de muestra: lignito; masa de muestra: 50 g; tama?o de part?cula: 0.2-0.45 mm; rango t?rmico: 30-200 ?C; tasa de calentamiento: 0.5 ?C/min; flujo de gas portador: 100 mL/min.</w:t>
            </w:r>
          </w:p>
        </w:tc>
        <w:tc>
          <w:tcPr>
            <w:tcW w:type="dxa" w:w="2300"/>
            <w:tcMar>
              <w:top w:w="80" w:type="dxa"/>
              <w:start w:w="120" w:type="dxa"/>
              <w:bottom w:w="80" w:type="dxa"/>
              <w:end w:w="120" w:type="dxa"/>
            </w:tcMar>
            <w:vAlign w:val="center"/>
          </w:tcPr>
          <w:p>
            <w:pPr>
              <w:spacing w:after="0"/>
              <w:jc w:val="center"/>
            </w:pPr>
            <w:r>
              <w:rPr>
                <w:rFonts w:ascii="Arial" w:hAnsi="Arial"/>
                <w:sz w:val="16"/>
              </w:rPr>
              <w:t>Num?rico / condiciones experimentales</w:t>
            </w:r>
          </w:p>
        </w:tc>
      </w:tr>
      <w:tr>
        <w:tc>
          <w:tcPr>
            <w:tcW w:type="dxa" w:w="2600"/>
            <w:tcMar>
              <w:top w:w="80" w:type="dxa"/>
              <w:start w:w="120" w:type="dxa"/>
              <w:bottom w:w="80" w:type="dxa"/>
              <w:end w:w="120" w:type="dxa"/>
            </w:tcMar>
            <w:vAlign w:val="center"/>
          </w:tcPr>
          <w:p>
            <w:pPr>
              <w:spacing w:after="0"/>
              <w:jc w:val="left"/>
            </w:pPr>
            <w:r>
              <w:rPr>
                <w:rFonts w:ascii="Arial" w:hAnsi="Arial"/>
                <w:sz w:val="16"/>
              </w:rPr>
            </w:r>
          </w:p>
        </w:tc>
        <w:tc>
          <w:tcPr>
            <w:tcW w:type="dxa" w:w="3300"/>
            <w:tcMar>
              <w:top w:w="80" w:type="dxa"/>
              <w:start w:w="120" w:type="dxa"/>
              <w:bottom w:w="80" w:type="dxa"/>
              <w:end w:w="120" w:type="dxa"/>
            </w:tcMar>
            <w:vAlign w:val="center"/>
          </w:tcPr>
          <w:p>
            <w:pPr>
              <w:spacing w:after="0"/>
              <w:jc w:val="left"/>
            </w:pPr>
            <w:r>
              <w:rPr>
                <w:rFonts w:ascii="Arial" w:hAnsi="Arial"/>
                <w:sz w:val="16"/>
              </w:rPr>
            </w:r>
          </w:p>
        </w:tc>
        <w:tc>
          <w:tcPr>
            <w:tcW w:type="dxa" w:w="3000"/>
            <w:tcMar>
              <w:top w:w="80" w:type="dxa"/>
              <w:start w:w="120" w:type="dxa"/>
              <w:bottom w:w="80" w:type="dxa"/>
              <w:end w:w="120" w:type="dxa"/>
            </w:tcMar>
            <w:vAlign w:val="center"/>
          </w:tcPr>
          <w:p>
            <w:pPr>
              <w:spacing w:after="0"/>
              <w:jc w:val="left"/>
            </w:pPr>
            <w:r>
              <w:rPr>
                <w:rFonts w:ascii="Arial" w:hAnsi="Arial"/>
                <w:sz w:val="16"/>
              </w:rPr>
              <w:t>2. Dise?o del dispositivo PTC E-nose</w:t>
            </w:r>
          </w:p>
        </w:tc>
        <w:tc>
          <w:tcPr>
            <w:tcW w:type="dxa" w:w="5200"/>
            <w:tcMar>
              <w:top w:w="80" w:type="dxa"/>
              <w:start w:w="120" w:type="dxa"/>
              <w:bottom w:w="80" w:type="dxa"/>
              <w:end w:w="120" w:type="dxa"/>
            </w:tcMar>
            <w:vAlign w:val="center"/>
          </w:tcPr>
          <w:p>
            <w:pPr>
              <w:spacing w:after="0"/>
              <w:jc w:val="left"/>
            </w:pPr>
            <w:r>
              <w:rPr>
                <w:rFonts w:ascii="Arial" w:hAnsi="Arial"/>
                <w:sz w:val="16"/>
              </w:rPr>
              <w:t>M?dulo de temperatura programable; c?mara de acero inoxidable de 400 mL; volumen de inyecci?n de 60 mL; estabilizaci?n de l?nea base 50 s; adquisici?n 120 s; purga y recuperaci?n 90 s.</w:t>
            </w:r>
          </w:p>
        </w:tc>
        <w:tc>
          <w:tcPr>
            <w:tcW w:type="dxa" w:w="2300"/>
            <w:tcMar>
              <w:top w:w="80" w:type="dxa"/>
              <w:start w:w="120" w:type="dxa"/>
              <w:bottom w:w="80" w:type="dxa"/>
              <w:end w:w="120" w:type="dxa"/>
            </w:tcMar>
            <w:vAlign w:val="center"/>
          </w:tcPr>
          <w:p>
            <w:pPr>
              <w:spacing w:after="0"/>
              <w:jc w:val="center"/>
            </w:pPr>
            <w:r>
              <w:rPr>
                <w:rFonts w:ascii="Arial" w:hAnsi="Arial"/>
                <w:sz w:val="16"/>
              </w:rPr>
              <w:t>Tiempo, volumen y configuraci?n t?cnica</w:t>
            </w:r>
          </w:p>
        </w:tc>
      </w:tr>
      <w:tr>
        <w:tc>
          <w:tcPr>
            <w:tcW w:type="dxa" w:w="2600"/>
            <w:tcMar>
              <w:top w:w="80" w:type="dxa"/>
              <w:start w:w="120" w:type="dxa"/>
              <w:bottom w:w="80" w:type="dxa"/>
              <w:end w:w="120" w:type="dxa"/>
            </w:tcMar>
            <w:vAlign w:val="center"/>
          </w:tcPr>
          <w:p>
            <w:pPr>
              <w:spacing w:after="0"/>
              <w:jc w:val="left"/>
            </w:pPr>
            <w:r>
              <w:rPr>
                <w:rFonts w:ascii="Arial" w:hAnsi="Arial"/>
                <w:sz w:val="16"/>
              </w:rPr>
            </w:r>
          </w:p>
        </w:tc>
        <w:tc>
          <w:tcPr>
            <w:tcW w:type="dxa" w:w="3300"/>
            <w:tcMar>
              <w:top w:w="80" w:type="dxa"/>
              <w:start w:w="120" w:type="dxa"/>
              <w:bottom w:w="80" w:type="dxa"/>
              <w:end w:w="120" w:type="dxa"/>
            </w:tcMar>
            <w:vAlign w:val="center"/>
          </w:tcPr>
          <w:p>
            <w:pPr>
              <w:spacing w:after="0"/>
              <w:jc w:val="left"/>
            </w:pPr>
            <w:r>
              <w:rPr>
                <w:rFonts w:ascii="Arial" w:hAnsi="Arial"/>
                <w:sz w:val="16"/>
              </w:rPr>
            </w:r>
          </w:p>
        </w:tc>
        <w:tc>
          <w:tcPr>
            <w:tcW w:type="dxa" w:w="3000"/>
            <w:tcMar>
              <w:top w:w="80" w:type="dxa"/>
              <w:start w:w="120" w:type="dxa"/>
              <w:bottom w:w="80" w:type="dxa"/>
              <w:end w:w="120" w:type="dxa"/>
            </w:tcMar>
            <w:vAlign w:val="center"/>
          </w:tcPr>
          <w:p>
            <w:pPr>
              <w:spacing w:after="0"/>
              <w:jc w:val="left"/>
            </w:pPr>
            <w:r>
              <w:rPr>
                <w:rFonts w:ascii="Arial" w:hAnsi="Arial"/>
                <w:sz w:val="16"/>
              </w:rPr>
              <w:t>3. Arreglo de sensores y se?ales de olor</w:t>
            </w:r>
          </w:p>
        </w:tc>
        <w:tc>
          <w:tcPr>
            <w:tcW w:type="dxa" w:w="5200"/>
            <w:tcMar>
              <w:top w:w="80" w:type="dxa"/>
              <w:start w:w="120" w:type="dxa"/>
              <w:bottom w:w="80" w:type="dxa"/>
              <w:end w:w="120" w:type="dxa"/>
            </w:tcMar>
            <w:vAlign w:val="center"/>
          </w:tcPr>
          <w:p>
            <w:pPr>
              <w:spacing w:after="0"/>
              <w:jc w:val="left"/>
            </w:pPr>
            <w:r>
              <w:rPr>
                <w:rFonts w:ascii="Arial" w:hAnsi="Arial"/>
                <w:sz w:val="16"/>
              </w:rPr>
              <w:t>Diez sensores sensibles a etanol, gas natural, benceno/tolueno, cetonas, aldeh?dos, metano, CO, propano, entre otros; respuesta diferencial frente a aire limpio.</w:t>
            </w:r>
          </w:p>
        </w:tc>
        <w:tc>
          <w:tcPr>
            <w:tcW w:type="dxa" w:w="2300"/>
            <w:tcMar>
              <w:top w:w="80" w:type="dxa"/>
              <w:start w:w="120" w:type="dxa"/>
              <w:bottom w:w="80" w:type="dxa"/>
              <w:end w:w="120" w:type="dxa"/>
            </w:tcMar>
            <w:vAlign w:val="center"/>
          </w:tcPr>
          <w:p>
            <w:pPr>
              <w:spacing w:after="0"/>
              <w:jc w:val="center"/>
            </w:pPr>
            <w:r>
              <w:rPr>
                <w:rFonts w:ascii="Arial" w:hAnsi="Arial"/>
                <w:sz w:val="16"/>
              </w:rPr>
              <w:t>Categ?rico / se?al el?ctrica</w:t>
            </w:r>
          </w:p>
        </w:tc>
      </w:tr>
      <w:tr>
        <w:tc>
          <w:tcPr>
            <w:tcW w:type="dxa" w:w="2600"/>
            <w:tcMar>
              <w:top w:w="80" w:type="dxa"/>
              <w:start w:w="120" w:type="dxa"/>
              <w:bottom w:w="80" w:type="dxa"/>
              <w:end w:w="120" w:type="dxa"/>
            </w:tcMar>
            <w:vAlign w:val="center"/>
          </w:tcPr>
          <w:p>
            <w:pPr>
              <w:spacing w:after="0"/>
              <w:jc w:val="left"/>
            </w:pPr>
            <w:r>
              <w:rPr>
                <w:rFonts w:ascii="Arial" w:hAnsi="Arial"/>
                <w:sz w:val="16"/>
              </w:rPr>
            </w:r>
          </w:p>
        </w:tc>
        <w:tc>
          <w:tcPr>
            <w:tcW w:type="dxa" w:w="3300"/>
            <w:tcMar>
              <w:top w:w="80" w:type="dxa"/>
              <w:start w:w="120" w:type="dxa"/>
              <w:bottom w:w="80" w:type="dxa"/>
              <w:end w:w="120" w:type="dxa"/>
            </w:tcMar>
            <w:vAlign w:val="center"/>
          </w:tcPr>
          <w:p>
            <w:pPr>
              <w:spacing w:after="0"/>
              <w:jc w:val="left"/>
            </w:pPr>
            <w:r>
              <w:rPr>
                <w:rFonts w:ascii="Arial" w:hAnsi="Arial"/>
                <w:sz w:val="16"/>
              </w:rPr>
            </w:r>
          </w:p>
        </w:tc>
        <w:tc>
          <w:tcPr>
            <w:tcW w:type="dxa" w:w="3000"/>
            <w:tcMar>
              <w:top w:w="80" w:type="dxa"/>
              <w:start w:w="120" w:type="dxa"/>
              <w:bottom w:w="80" w:type="dxa"/>
              <w:end w:w="120" w:type="dxa"/>
            </w:tcMar>
            <w:vAlign w:val="center"/>
          </w:tcPr>
          <w:p>
            <w:pPr>
              <w:spacing w:after="0"/>
              <w:jc w:val="left"/>
            </w:pPr>
            <w:r>
              <w:rPr>
                <w:rFonts w:ascii="Arial" w:hAnsi="Arial"/>
                <w:sz w:val="16"/>
              </w:rPr>
              <w:t>4. Preprocesamiento y reducci?n de dimensionalidad</w:t>
            </w:r>
          </w:p>
        </w:tc>
        <w:tc>
          <w:tcPr>
            <w:tcW w:type="dxa" w:w="5200"/>
            <w:tcMar>
              <w:top w:w="80" w:type="dxa"/>
              <w:start w:w="120" w:type="dxa"/>
              <w:bottom w:w="80" w:type="dxa"/>
              <w:end w:w="120" w:type="dxa"/>
            </w:tcMar>
            <w:vAlign w:val="center"/>
          </w:tcPr>
          <w:p>
            <w:pPr>
              <w:spacing w:after="0"/>
              <w:jc w:val="left"/>
            </w:pPr>
            <w:r>
              <w:rPr>
                <w:rFonts w:ascii="Arial" w:hAnsi="Arial"/>
                <w:sz w:val="16"/>
              </w:rPr>
              <w:t>Extracci?n de caracter?sticas de respuestas de sensores; matriz 10-D; PCA para componentes principales y visualizaci?n 2-D/3-D de etapas de CSC.</w:t>
            </w:r>
          </w:p>
        </w:tc>
        <w:tc>
          <w:tcPr>
            <w:tcW w:type="dxa" w:w="2300"/>
            <w:tcMar>
              <w:top w:w="80" w:type="dxa"/>
              <w:start w:w="120" w:type="dxa"/>
              <w:bottom w:w="80" w:type="dxa"/>
              <w:end w:w="120" w:type="dxa"/>
            </w:tcMar>
            <w:vAlign w:val="center"/>
          </w:tcPr>
          <w:p>
            <w:pPr>
              <w:spacing w:after="0"/>
              <w:jc w:val="center"/>
            </w:pPr>
            <w:r>
              <w:rPr>
                <w:rFonts w:ascii="Arial" w:hAnsi="Arial"/>
                <w:sz w:val="16"/>
              </w:rPr>
              <w:t>T?cnica aplicada / varianza explicada</w:t>
            </w:r>
          </w:p>
        </w:tc>
      </w:tr>
      <w:tr>
        <w:tc>
          <w:tcPr>
            <w:tcW w:type="dxa" w:w="2600"/>
            <w:tcMar>
              <w:top w:w="80" w:type="dxa"/>
              <w:start w:w="120" w:type="dxa"/>
              <w:bottom w:w="80" w:type="dxa"/>
              <w:end w:w="120" w:type="dxa"/>
            </w:tcMar>
            <w:vAlign w:val="center"/>
          </w:tcPr>
          <w:p>
            <w:pPr>
              <w:spacing w:after="0"/>
              <w:jc w:val="left"/>
            </w:pPr>
            <w:r>
              <w:rPr>
                <w:rFonts w:ascii="Arial" w:hAnsi="Arial"/>
                <w:sz w:val="16"/>
              </w:rPr>
            </w:r>
          </w:p>
        </w:tc>
        <w:tc>
          <w:tcPr>
            <w:tcW w:type="dxa" w:w="3300"/>
            <w:tcMar>
              <w:top w:w="80" w:type="dxa"/>
              <w:start w:w="120" w:type="dxa"/>
              <w:bottom w:w="80" w:type="dxa"/>
              <w:end w:w="120" w:type="dxa"/>
            </w:tcMar>
            <w:vAlign w:val="center"/>
          </w:tcPr>
          <w:p>
            <w:pPr>
              <w:spacing w:after="0"/>
              <w:jc w:val="left"/>
            </w:pPr>
            <w:r>
              <w:rPr>
                <w:rFonts w:ascii="Arial" w:hAnsi="Arial"/>
                <w:sz w:val="16"/>
              </w:rPr>
            </w:r>
          </w:p>
        </w:tc>
        <w:tc>
          <w:tcPr>
            <w:tcW w:type="dxa" w:w="3000"/>
            <w:tcMar>
              <w:top w:w="80" w:type="dxa"/>
              <w:start w:w="120" w:type="dxa"/>
              <w:bottom w:w="80" w:type="dxa"/>
              <w:end w:w="120" w:type="dxa"/>
            </w:tcMar>
            <w:vAlign w:val="center"/>
          </w:tcPr>
          <w:p>
            <w:pPr>
              <w:spacing w:after="0"/>
              <w:jc w:val="left"/>
            </w:pPr>
            <w:r>
              <w:rPr>
                <w:rFonts w:ascii="Arial" w:hAnsi="Arial"/>
                <w:sz w:val="16"/>
              </w:rPr>
              <w:t>5. Modelos de clasificaci?n</w:t>
            </w:r>
          </w:p>
        </w:tc>
        <w:tc>
          <w:tcPr>
            <w:tcW w:type="dxa" w:w="5200"/>
            <w:tcMar>
              <w:top w:w="80" w:type="dxa"/>
              <w:start w:w="120" w:type="dxa"/>
              <w:bottom w:w="80" w:type="dxa"/>
              <w:end w:w="120" w:type="dxa"/>
            </w:tcMar>
            <w:vAlign w:val="center"/>
          </w:tcPr>
          <w:p>
            <w:pPr>
              <w:spacing w:after="0"/>
              <w:jc w:val="left"/>
            </w:pPr>
            <w:r>
              <w:rPr>
                <w:rFonts w:ascii="Arial" w:hAnsi="Arial"/>
                <w:sz w:val="16"/>
              </w:rPr>
              <w:t>PCA-SVM como modelo principal; comparaci?n con RF, SVM y ANN; divisi?n entrenamiento-prueba 70:30; validaci?n cruzada estratificada k-fold.</w:t>
            </w:r>
          </w:p>
        </w:tc>
        <w:tc>
          <w:tcPr>
            <w:tcW w:type="dxa" w:w="2300"/>
            <w:tcMar>
              <w:top w:w="80" w:type="dxa"/>
              <w:start w:w="120" w:type="dxa"/>
              <w:bottom w:w="80" w:type="dxa"/>
              <w:end w:w="120" w:type="dxa"/>
            </w:tcMar>
            <w:vAlign w:val="center"/>
          </w:tcPr>
          <w:p>
            <w:pPr>
              <w:spacing w:after="0"/>
              <w:jc w:val="center"/>
            </w:pPr>
            <w:r>
              <w:rPr>
                <w:rFonts w:ascii="Arial" w:hAnsi="Arial"/>
                <w:sz w:val="16"/>
              </w:rPr>
              <w:t>Categ?rico / proporci?n de datos</w:t>
            </w:r>
          </w:p>
        </w:tc>
      </w:tr>
      <w:tr>
        <w:tc>
          <w:tcPr>
            <w:tcW w:type="dxa" w:w="2600"/>
            <w:shd w:fill="F2F6FA"/>
            <w:tcMar>
              <w:top w:w="80" w:type="dxa"/>
              <w:start w:w="120" w:type="dxa"/>
              <w:bottom w:w="80" w:type="dxa"/>
              <w:end w:w="120" w:type="dxa"/>
            </w:tcMar>
            <w:vAlign w:val="center"/>
          </w:tcPr>
          <w:p>
            <w:pPr>
              <w:spacing w:after="0"/>
              <w:jc w:val="left"/>
            </w:pPr>
            <w:r>
              <w:rPr>
                <w:rFonts w:ascii="Arial" w:hAnsi="Arial"/>
                <w:b/>
                <w:sz w:val="16"/>
              </w:rPr>
              <w:t>Variable Dependiente (VD): Exactitud de predicci?n de etapas de combusti?n espont?nea del carb?n</w:t>
            </w:r>
          </w:p>
        </w:tc>
        <w:tc>
          <w:tcPr>
            <w:tcW w:type="dxa" w:w="3300"/>
            <w:tcMar>
              <w:top w:w="80" w:type="dxa"/>
              <w:start w:w="120" w:type="dxa"/>
              <w:bottom w:w="80" w:type="dxa"/>
              <w:end w:w="120" w:type="dxa"/>
            </w:tcMar>
            <w:vAlign w:val="center"/>
          </w:tcPr>
          <w:p>
            <w:pPr>
              <w:spacing w:after="0"/>
              <w:jc w:val="left"/>
            </w:pPr>
            <w:r>
              <w:rPr>
                <w:rFonts w:ascii="Arial" w:hAnsi="Arial"/>
                <w:sz w:val="16"/>
              </w:rPr>
              <w:t>Capacidad del sistema para identificar la etapa temprana, media o tard?a de CSC a partir de patrones de olor y se?ales de sensores.</w:t>
            </w:r>
          </w:p>
        </w:tc>
        <w:tc>
          <w:tcPr>
            <w:tcW w:type="dxa" w:w="3000"/>
            <w:tcMar>
              <w:top w:w="80" w:type="dxa"/>
              <w:start w:w="120" w:type="dxa"/>
              <w:bottom w:w="80" w:type="dxa"/>
              <w:end w:w="120" w:type="dxa"/>
            </w:tcMar>
            <w:vAlign w:val="center"/>
          </w:tcPr>
          <w:p>
            <w:pPr>
              <w:spacing w:after="0"/>
              <w:jc w:val="left"/>
            </w:pPr>
            <w:r>
              <w:rPr>
                <w:rFonts w:ascii="Arial" w:hAnsi="Arial"/>
                <w:sz w:val="16"/>
              </w:rPr>
              <w:t>1. Identificaci?n de etapa de CSC</w:t>
            </w:r>
          </w:p>
        </w:tc>
        <w:tc>
          <w:tcPr>
            <w:tcW w:type="dxa" w:w="5200"/>
            <w:tcMar>
              <w:top w:w="80" w:type="dxa"/>
              <w:start w:w="120" w:type="dxa"/>
              <w:bottom w:w="80" w:type="dxa"/>
              <w:end w:w="120" w:type="dxa"/>
            </w:tcMar>
            <w:vAlign w:val="center"/>
          </w:tcPr>
          <w:p>
            <w:pPr>
              <w:spacing w:after="0"/>
              <w:jc w:val="left"/>
            </w:pPr>
            <w:r>
              <w:rPr>
                <w:rFonts w:ascii="Arial" w:hAnsi="Arial"/>
                <w:sz w:val="16"/>
              </w:rPr>
              <w:t>Clases ES, MS y LS: etapa temprana, media y tard?a; matriz de confusi?n para clasificaci?n multiclase.</w:t>
            </w:r>
          </w:p>
        </w:tc>
        <w:tc>
          <w:tcPr>
            <w:tcW w:type="dxa" w:w="2300"/>
            <w:tcMar>
              <w:top w:w="80" w:type="dxa"/>
              <w:start w:w="120" w:type="dxa"/>
              <w:bottom w:w="80" w:type="dxa"/>
              <w:end w:w="120" w:type="dxa"/>
            </w:tcMar>
            <w:vAlign w:val="center"/>
          </w:tcPr>
          <w:p>
            <w:pPr>
              <w:spacing w:after="0"/>
              <w:jc w:val="center"/>
            </w:pPr>
            <w:r>
              <w:rPr>
                <w:rFonts w:ascii="Arial" w:hAnsi="Arial"/>
                <w:sz w:val="16"/>
              </w:rPr>
              <w:t>Categ?rico nominal</w:t>
            </w:r>
          </w:p>
        </w:tc>
      </w:tr>
      <w:tr>
        <w:tc>
          <w:tcPr>
            <w:tcW w:type="dxa" w:w="2600"/>
            <w:tcMar>
              <w:top w:w="80" w:type="dxa"/>
              <w:start w:w="120" w:type="dxa"/>
              <w:bottom w:w="80" w:type="dxa"/>
              <w:end w:w="120" w:type="dxa"/>
            </w:tcMar>
            <w:vAlign w:val="center"/>
          </w:tcPr>
          <w:p>
            <w:pPr>
              <w:spacing w:after="0"/>
              <w:jc w:val="left"/>
            </w:pPr>
            <w:r>
              <w:rPr>
                <w:rFonts w:ascii="Arial" w:hAnsi="Arial"/>
                <w:sz w:val="16"/>
              </w:rPr>
            </w:r>
          </w:p>
        </w:tc>
        <w:tc>
          <w:tcPr>
            <w:tcW w:type="dxa" w:w="3300"/>
            <w:tcMar>
              <w:top w:w="80" w:type="dxa"/>
              <w:start w:w="120" w:type="dxa"/>
              <w:bottom w:w="80" w:type="dxa"/>
              <w:end w:w="120" w:type="dxa"/>
            </w:tcMar>
            <w:vAlign w:val="center"/>
          </w:tcPr>
          <w:p>
            <w:pPr>
              <w:spacing w:after="0"/>
              <w:jc w:val="left"/>
            </w:pPr>
            <w:r>
              <w:rPr>
                <w:rFonts w:ascii="Arial" w:hAnsi="Arial"/>
                <w:sz w:val="16"/>
              </w:rPr>
            </w:r>
          </w:p>
        </w:tc>
        <w:tc>
          <w:tcPr>
            <w:tcW w:type="dxa" w:w="3000"/>
            <w:tcMar>
              <w:top w:w="80" w:type="dxa"/>
              <w:start w:w="120" w:type="dxa"/>
              <w:bottom w:w="80" w:type="dxa"/>
              <w:end w:w="120" w:type="dxa"/>
            </w:tcMar>
            <w:vAlign w:val="center"/>
          </w:tcPr>
          <w:p>
            <w:pPr>
              <w:spacing w:after="0"/>
              <w:jc w:val="left"/>
            </w:pPr>
            <w:r>
              <w:rPr>
                <w:rFonts w:ascii="Arial" w:hAnsi="Arial"/>
                <w:sz w:val="16"/>
              </w:rPr>
              <w:t>2. Desempe?o predictivo del modelo</w:t>
            </w:r>
          </w:p>
        </w:tc>
        <w:tc>
          <w:tcPr>
            <w:tcW w:type="dxa" w:w="5200"/>
            <w:tcMar>
              <w:top w:w="80" w:type="dxa"/>
              <w:start w:w="120" w:type="dxa"/>
              <w:bottom w:w="80" w:type="dxa"/>
              <w:end w:w="120" w:type="dxa"/>
            </w:tcMar>
            <w:vAlign w:val="center"/>
          </w:tcPr>
          <w:p>
            <w:pPr>
              <w:spacing w:after="0"/>
              <w:jc w:val="left"/>
            </w:pPr>
            <w:r>
              <w:rPr>
                <w:rFonts w:ascii="Arial" w:hAnsi="Arial"/>
                <w:sz w:val="16"/>
              </w:rPr>
              <w:t>Accuracy, recall, precision y F1-score; exactitud de PCA-SVM superior al 95%.</w:t>
            </w:r>
          </w:p>
        </w:tc>
        <w:tc>
          <w:tcPr>
            <w:tcW w:type="dxa" w:w="2300"/>
            <w:tcMar>
              <w:top w:w="80" w:type="dxa"/>
              <w:start w:w="120" w:type="dxa"/>
              <w:bottom w:w="80" w:type="dxa"/>
              <w:end w:w="120" w:type="dxa"/>
            </w:tcMar>
            <w:vAlign w:val="center"/>
          </w:tcPr>
          <w:p>
            <w:pPr>
              <w:spacing w:after="0"/>
              <w:jc w:val="center"/>
            </w:pPr>
            <w:r>
              <w:rPr>
                <w:rFonts w:ascii="Arial" w:hAnsi="Arial"/>
                <w:sz w:val="16"/>
              </w:rPr>
              <w:t>Porcentaje / m?trica de clasificaci?n</w:t>
            </w:r>
          </w:p>
        </w:tc>
      </w:tr>
      <w:tr>
        <w:tc>
          <w:tcPr>
            <w:tcW w:type="dxa" w:w="2600"/>
            <w:tcMar>
              <w:top w:w="80" w:type="dxa"/>
              <w:start w:w="120" w:type="dxa"/>
              <w:bottom w:w="80" w:type="dxa"/>
              <w:end w:w="120" w:type="dxa"/>
            </w:tcMar>
            <w:vAlign w:val="center"/>
          </w:tcPr>
          <w:p>
            <w:pPr>
              <w:spacing w:after="0"/>
              <w:jc w:val="left"/>
            </w:pPr>
            <w:r>
              <w:rPr>
                <w:rFonts w:ascii="Arial" w:hAnsi="Arial"/>
                <w:sz w:val="16"/>
              </w:rPr>
            </w:r>
          </w:p>
        </w:tc>
        <w:tc>
          <w:tcPr>
            <w:tcW w:type="dxa" w:w="3300"/>
            <w:tcMar>
              <w:top w:w="80" w:type="dxa"/>
              <w:start w:w="120" w:type="dxa"/>
              <w:bottom w:w="80" w:type="dxa"/>
              <w:end w:w="120" w:type="dxa"/>
            </w:tcMar>
            <w:vAlign w:val="center"/>
          </w:tcPr>
          <w:p>
            <w:pPr>
              <w:spacing w:after="0"/>
              <w:jc w:val="left"/>
            </w:pPr>
            <w:r>
              <w:rPr>
                <w:rFonts w:ascii="Arial" w:hAnsi="Arial"/>
                <w:sz w:val="16"/>
              </w:rPr>
            </w:r>
          </w:p>
        </w:tc>
        <w:tc>
          <w:tcPr>
            <w:tcW w:type="dxa" w:w="3000"/>
            <w:tcMar>
              <w:top w:w="80" w:type="dxa"/>
              <w:start w:w="120" w:type="dxa"/>
              <w:bottom w:w="80" w:type="dxa"/>
              <w:end w:w="120" w:type="dxa"/>
            </w:tcMar>
            <w:vAlign w:val="center"/>
          </w:tcPr>
          <w:p>
            <w:pPr>
              <w:spacing w:after="0"/>
              <w:jc w:val="left"/>
            </w:pPr>
            <w:r>
              <w:rPr>
                <w:rFonts w:ascii="Arial" w:hAnsi="Arial"/>
                <w:sz w:val="16"/>
              </w:rPr>
              <w:t>3. Importancia de compuestos vol?tiles</w:t>
            </w:r>
          </w:p>
        </w:tc>
        <w:tc>
          <w:tcPr>
            <w:tcW w:type="dxa" w:w="5200"/>
            <w:tcMar>
              <w:top w:w="80" w:type="dxa"/>
              <w:start w:w="120" w:type="dxa"/>
              <w:bottom w:w="80" w:type="dxa"/>
              <w:end w:w="120" w:type="dxa"/>
            </w:tcMar>
            <w:vAlign w:val="center"/>
          </w:tcPr>
          <w:p>
            <w:pPr>
              <w:spacing w:after="0"/>
              <w:jc w:val="left"/>
            </w:pPr>
            <w:r>
              <w:rPr>
                <w:rFonts w:ascii="Arial" w:hAnsi="Arial"/>
                <w:sz w:val="16"/>
              </w:rPr>
              <w:t>Acetaldeh?do con importancia 0.38; benceno con importancia 0.19; correlaci?n sensor de acetaldeh?do-temperatura R? = 0.97.</w:t>
            </w:r>
          </w:p>
        </w:tc>
        <w:tc>
          <w:tcPr>
            <w:tcW w:type="dxa" w:w="2300"/>
            <w:tcMar>
              <w:top w:w="80" w:type="dxa"/>
              <w:start w:w="120" w:type="dxa"/>
              <w:bottom w:w="80" w:type="dxa"/>
              <w:end w:w="120" w:type="dxa"/>
            </w:tcMar>
            <w:vAlign w:val="center"/>
          </w:tcPr>
          <w:p>
            <w:pPr>
              <w:spacing w:after="0"/>
              <w:jc w:val="center"/>
            </w:pPr>
            <w:r>
              <w:rPr>
                <w:rFonts w:ascii="Arial" w:hAnsi="Arial"/>
                <w:sz w:val="16"/>
              </w:rPr>
              <w:t>Puntaje de importancia / R?</w:t>
            </w:r>
          </w:p>
        </w:tc>
      </w:tr>
      <w:tr>
        <w:tc>
          <w:tcPr>
            <w:tcW w:type="dxa" w:w="2600"/>
            <w:tcMar>
              <w:top w:w="80" w:type="dxa"/>
              <w:start w:w="120" w:type="dxa"/>
              <w:bottom w:w="80" w:type="dxa"/>
              <w:end w:w="120" w:type="dxa"/>
            </w:tcMar>
            <w:vAlign w:val="center"/>
          </w:tcPr>
          <w:p>
            <w:pPr>
              <w:spacing w:after="0"/>
              <w:jc w:val="left"/>
            </w:pPr>
            <w:r>
              <w:rPr>
                <w:rFonts w:ascii="Arial" w:hAnsi="Arial"/>
                <w:sz w:val="16"/>
              </w:rPr>
            </w:r>
          </w:p>
        </w:tc>
        <w:tc>
          <w:tcPr>
            <w:tcW w:type="dxa" w:w="3300"/>
            <w:tcMar>
              <w:top w:w="80" w:type="dxa"/>
              <w:start w:w="120" w:type="dxa"/>
              <w:bottom w:w="80" w:type="dxa"/>
              <w:end w:w="120" w:type="dxa"/>
            </w:tcMar>
            <w:vAlign w:val="center"/>
          </w:tcPr>
          <w:p>
            <w:pPr>
              <w:spacing w:after="0"/>
              <w:jc w:val="left"/>
            </w:pPr>
            <w:r>
              <w:rPr>
                <w:rFonts w:ascii="Arial" w:hAnsi="Arial"/>
                <w:sz w:val="16"/>
              </w:rPr>
            </w:r>
          </w:p>
        </w:tc>
        <w:tc>
          <w:tcPr>
            <w:tcW w:type="dxa" w:w="3000"/>
            <w:tcMar>
              <w:top w:w="80" w:type="dxa"/>
              <w:start w:w="120" w:type="dxa"/>
              <w:bottom w:w="80" w:type="dxa"/>
              <w:end w:w="120" w:type="dxa"/>
            </w:tcMar>
            <w:vAlign w:val="center"/>
          </w:tcPr>
          <w:p>
            <w:pPr>
              <w:spacing w:after="0"/>
              <w:jc w:val="left"/>
            </w:pPr>
            <w:r>
              <w:rPr>
                <w:rFonts w:ascii="Arial" w:hAnsi="Arial"/>
                <w:sz w:val="16"/>
              </w:rPr>
              <w:t>4. Separabilidad de patrones de olor</w:t>
            </w:r>
          </w:p>
        </w:tc>
        <w:tc>
          <w:tcPr>
            <w:tcW w:type="dxa" w:w="5200"/>
            <w:tcMar>
              <w:top w:w="80" w:type="dxa"/>
              <w:start w:w="120" w:type="dxa"/>
              <w:bottom w:w="80" w:type="dxa"/>
              <w:end w:w="120" w:type="dxa"/>
            </w:tcMar>
            <w:vAlign w:val="center"/>
          </w:tcPr>
          <w:p>
            <w:pPr>
              <w:spacing w:after="0"/>
              <w:jc w:val="left"/>
            </w:pPr>
            <w:r>
              <w:rPr>
                <w:rFonts w:ascii="Arial" w:hAnsi="Arial"/>
                <w:sz w:val="16"/>
              </w:rPr>
              <w:t>Tres primeros componentes principales explican 92.4-92.45% de la varianza total; agrupamiento de firmas odor?feras por etapa.</w:t>
            </w:r>
          </w:p>
        </w:tc>
        <w:tc>
          <w:tcPr>
            <w:tcW w:type="dxa" w:w="2300"/>
            <w:tcMar>
              <w:top w:w="80" w:type="dxa"/>
              <w:start w:w="120" w:type="dxa"/>
              <w:bottom w:w="80" w:type="dxa"/>
              <w:end w:w="120" w:type="dxa"/>
            </w:tcMar>
            <w:vAlign w:val="center"/>
          </w:tcPr>
          <w:p>
            <w:pPr>
              <w:spacing w:after="0"/>
              <w:jc w:val="center"/>
            </w:pPr>
            <w:r>
              <w:rPr>
                <w:rFonts w:ascii="Arial" w:hAnsi="Arial"/>
                <w:sz w:val="16"/>
              </w:rPr>
              <w:t>Porcentaje de varianza</w:t>
            </w:r>
          </w:p>
        </w:tc>
      </w:tr>
      <w:tr>
        <w:tc>
          <w:tcPr>
            <w:tcW w:type="dxa" w:w="2600"/>
            <w:tcMar>
              <w:top w:w="80" w:type="dxa"/>
              <w:start w:w="120" w:type="dxa"/>
              <w:bottom w:w="80" w:type="dxa"/>
              <w:end w:w="120" w:type="dxa"/>
            </w:tcMar>
            <w:vAlign w:val="center"/>
          </w:tcPr>
          <w:p>
            <w:pPr>
              <w:spacing w:after="0"/>
              <w:jc w:val="left"/>
            </w:pPr>
            <w:r>
              <w:rPr>
                <w:rFonts w:ascii="Arial" w:hAnsi="Arial"/>
                <w:sz w:val="16"/>
              </w:rPr>
            </w:r>
          </w:p>
        </w:tc>
        <w:tc>
          <w:tcPr>
            <w:tcW w:type="dxa" w:w="3300"/>
            <w:tcMar>
              <w:top w:w="80" w:type="dxa"/>
              <w:start w:w="120" w:type="dxa"/>
              <w:bottom w:w="80" w:type="dxa"/>
              <w:end w:w="120" w:type="dxa"/>
            </w:tcMar>
            <w:vAlign w:val="center"/>
          </w:tcPr>
          <w:p>
            <w:pPr>
              <w:spacing w:after="0"/>
              <w:jc w:val="left"/>
            </w:pPr>
            <w:r>
              <w:rPr>
                <w:rFonts w:ascii="Arial" w:hAnsi="Arial"/>
                <w:sz w:val="16"/>
              </w:rPr>
            </w:r>
          </w:p>
        </w:tc>
        <w:tc>
          <w:tcPr>
            <w:tcW w:type="dxa" w:w="3000"/>
            <w:tcMar>
              <w:top w:w="80" w:type="dxa"/>
              <w:start w:w="120" w:type="dxa"/>
              <w:bottom w:w="80" w:type="dxa"/>
              <w:end w:w="120" w:type="dxa"/>
            </w:tcMar>
            <w:vAlign w:val="center"/>
          </w:tcPr>
          <w:p>
            <w:pPr>
              <w:spacing w:after="0"/>
              <w:jc w:val="left"/>
            </w:pPr>
            <w:r>
              <w:rPr>
                <w:rFonts w:ascii="Arial" w:hAnsi="Arial"/>
                <w:sz w:val="16"/>
              </w:rPr>
              <w:t>5. Aplicabilidad operacional</w:t>
            </w:r>
          </w:p>
        </w:tc>
        <w:tc>
          <w:tcPr>
            <w:tcW w:type="dxa" w:w="5200"/>
            <w:tcMar>
              <w:top w:w="80" w:type="dxa"/>
              <w:start w:w="120" w:type="dxa"/>
              <w:bottom w:w="80" w:type="dxa"/>
              <w:end w:w="120" w:type="dxa"/>
            </w:tcMar>
            <w:vAlign w:val="center"/>
          </w:tcPr>
          <w:p>
            <w:pPr>
              <w:spacing w:after="0"/>
              <w:jc w:val="left"/>
            </w:pPr>
            <w:r>
              <w:rPr>
                <w:rFonts w:ascii="Arial" w:hAnsi="Arial"/>
                <w:sz w:val="16"/>
              </w:rPr>
              <w:t>Monitoreo temprano en goaf, vetas fracturadas, zonas de falla y galer?as abandonadas; capacidad de alerta r?pida, automatizada y de bajo costo.</w:t>
            </w:r>
          </w:p>
        </w:tc>
        <w:tc>
          <w:tcPr>
            <w:tcW w:type="dxa" w:w="2300"/>
            <w:tcMar>
              <w:top w:w="80" w:type="dxa"/>
              <w:start w:w="120" w:type="dxa"/>
              <w:bottom w:w="80" w:type="dxa"/>
              <w:end w:w="120" w:type="dxa"/>
            </w:tcMar>
            <w:vAlign w:val="center"/>
          </w:tcPr>
          <w:p>
            <w:pPr>
              <w:spacing w:after="0"/>
              <w:jc w:val="center"/>
            </w:pPr>
            <w:r>
              <w:rPr>
                <w:rFonts w:ascii="Arial" w:hAnsi="Arial"/>
                <w:sz w:val="16"/>
              </w:rPr>
              <w:t>Cualitativo / contexto de aplicaci?n</w:t>
            </w:r>
          </w:p>
        </w:tc>
      </w:tr>
    </w:tbl>
    <w:p>
      <w:r>
        <w:br w:type="page"/>
      </w:r>
    </w:p>
    <w:p>
      <w:pPr>
        <w:pStyle w:val="Heading1"/>
      </w:pPr>
      <w:r>
        <w:t>Estado del arte</w:t>
      </w:r>
    </w:p>
    <w:p>
      <w:r>
        <w:rPr>
          <w:rFonts w:ascii="Arial" w:hAnsi="Arial"/>
          <w:b/>
          <w:sz w:val="22"/>
        </w:rPr>
        <w:t>Art?culo 1: Research on odor prediction methods for coal spontaneous combustion based on E-nose technology</w:t>
      </w:r>
    </w:p>
    <w:p>
      <w:pPr>
        <w:pStyle w:val="Heading2"/>
      </w:pPr>
      <w:r>
        <w:t>1. Estado del arte que hace el autor</w:t>
      </w:r>
    </w:p>
    <w:p>
      <w:pPr>
        <w:jc w:val="both"/>
      </w:pPr>
      <w:r>
        <w:rPr>
          <w:rFonts w:ascii="Arial" w:hAnsi="Arial"/>
          <w:sz w:val="20"/>
        </w:rPr>
        <w:t>Los autores ubican el problema dentro de la predicci?n de combusti?n espont?nea del carb?n (CSC). Se?alan que los m?todos tradicionales se han basado sobre todo en an?lisis de gases indicadores como CO, C2H4 y C2H2. Tambi?n reconocen investigaciones con instrumentos de alta precisi?n para compuestos vol?tiles, pero advierten que estos equipos son costosos, lentos y poco adecuados para monitoreo en campo. En paralelo, describen el avance de las narices electr?nicas en seguridad alimentaria, calidad del aire y an?lisis de combustibles f?siles, as? como el uso de aprendizaje autom?tico para interpretar se?ales multidimensionales y no lineales.</w:t>
      </w:r>
    </w:p>
    <w:p>
      <w:pPr>
        <w:pStyle w:val="Heading2"/>
      </w:pPr>
      <w:r>
        <w:t>2. Motivaci?n del autor (cr?ticas a trabajos anteriores)</w:t>
      </w:r>
    </w:p>
    <w:p>
      <w:pPr>
        <w:jc w:val="both"/>
      </w:pPr>
      <w:r>
        <w:rPr>
          <w:rFonts w:ascii="Arial" w:hAnsi="Arial"/>
          <w:sz w:val="20"/>
        </w:rPr>
        <w:t>La motivaci?n central es que los m?todos convencionales detectan un conjunto limitado de gases y no capturan la firma compleja de olor producida durante la oxidaci?n del carb?n. Los modelos previos con ANN y metaheur?sticas se enfocaban en ?ndices de propensi?n a la combusti?n basados en composici?n gaseosa, no en se?ales odor?feras de E-nose. Por ello, pod?an perder informaci?n de interferencia cruzada, redundancia y no linealidad de los sensores.</w:t>
      </w:r>
    </w:p>
    <w:p>
      <w:pPr>
        <w:pStyle w:val="Heading2"/>
      </w:pPr>
      <w:r>
        <w:t>3. Descripci?n del aporte del autor</w:t>
      </w:r>
    </w:p>
    <w:p>
      <w:pPr>
        <w:jc w:val="both"/>
      </w:pPr>
      <w:r>
        <w:rPr>
          <w:rFonts w:ascii="Arial" w:hAnsi="Arial"/>
          <w:sz w:val="20"/>
        </w:rPr>
        <w:t>El art?culo aporta un dispositivo PTC E-nose para medir olores de lignito durante combusti?n espont?nea, combina an?lisis de caracter?sticas odor?feras con PCA y propone un modelo PCA-SVM para clasificar etapas de CSC. El aporte pr?ctico es una v?a r?pida, port?til, automatizada y de bajo costo para alerta temprana en minas y zonas de almacenamiento.</w:t>
      </w:r>
    </w:p>
    <w:p>
      <w:pPr>
        <w:pStyle w:val="Heading2"/>
      </w:pPr>
      <w:r>
        <w:t>4. Proceso para obtener el aporte</w:t>
      </w:r>
    </w:p>
    <w:p>
      <w:pPr>
        <w:jc w:val="both"/>
      </w:pPr>
      <w:r>
        <w:rPr>
          <w:rFonts w:ascii="Arial" w:hAnsi="Arial"/>
          <w:sz w:val="20"/>
        </w:rPr>
        <w:t>Se utilizaron muestras de lignito de Mongolia Interior, preparadas con tama?o de part?cula de 0.2-0.45 mm y masa de 50 g. El carb?n fue calentado de 30 a 200 ?C a 0.5 ?C/min, con recolecci?n de gas cada 5 min. Las muestras se inyectaron en la c?mara de la E-nose, se capturaron se?ales de diez sensores y se procesaron para extraer caracter?sticas. Luego se aplic? PCA para reducir dimensionalidad y visualizar separaci?n entre etapas.</w:t>
      </w:r>
    </w:p>
    <w:p>
      <w:pPr>
        <w:pStyle w:val="Heading2"/>
      </w:pPr>
      <w:r>
        <w:t>5. Proceso para resolver el problema</w:t>
      </w:r>
    </w:p>
    <w:p>
      <w:pPr>
        <w:jc w:val="both"/>
      </w:pPr>
      <w:r>
        <w:rPr>
          <w:rFonts w:ascii="Arial" w:hAnsi="Arial"/>
          <w:sz w:val="20"/>
        </w:rPr>
        <w:t>El flujo de soluci?n consisti? en etiquetar las muestras como etapa temprana, media o tard?a; dividir datos en entrenamiento y prueba; aplicar PCA a la matriz de sensores; entrenar SVM con las componentes principales; comparar con RF, SVM y ANN; y validar el modelo mediante matriz de confusi?n y validaci?n cruzada. La selecci?n de acetaldeh?do y benceno como indicadores reforz? la interpretaci?n f?sica del modelo.</w:t>
      </w:r>
    </w:p>
    <w:p>
      <w:pPr>
        <w:pStyle w:val="Heading2"/>
      </w:pPr>
      <w:r>
        <w:t>6. M?tricas y resultados</w:t>
      </w:r>
    </w:p>
    <w:p>
      <w:pPr>
        <w:jc w:val="both"/>
      </w:pPr>
      <w:r>
        <w:rPr>
          <w:rFonts w:ascii="Arial" w:hAnsi="Arial"/>
          <w:sz w:val="20"/>
        </w:rPr>
        <w:t>El acetaldeh?do fue el compuesto dominante en la etapa temprana con importancia 0.38; el benceno alcanz? 0.19. La respuesta del sensor de acetaldeh?do se correlacion? fuertemente con la temperatura del carb?n (R? = 0.97). PCA explic? 92.4-92.45% de la varianza con los primeros componentes, y el modelo PCA-SVM alcanz? aproximadamente 95% o m?s de exactitud en la clasificaci?n de etapas CSC, superando a modelos comparativos.</w:t>
      </w:r>
    </w:p>
    <w:p>
      <w:pPr>
        <w:pStyle w:val="Heading2"/>
      </w:pPr>
      <w:r>
        <w:t>7. Observaciones y cr?ticas propias</w:t>
      </w:r>
    </w:p>
    <w:p>
      <w:pPr>
        <w:jc w:val="both"/>
      </w:pPr>
      <w:r>
        <w:rPr>
          <w:rFonts w:ascii="Arial" w:hAnsi="Arial"/>
          <w:sz w:val="20"/>
        </w:rPr>
        <w:t>El estudio es s?lido para demostrar factibilidad, pero se limita a condiciones de laboratorio y a un tipo de carb?n, por lo que la generalizaci?n a minas reales requiere pruebas con polvo, humedad, flujo de aire variable y diferentes rangos de carb?n. Tambi?n ser?a conveniente evaluar deriva de sensores, mantenimiento del dispositivo, robustez frente a gases interferentes y desempe?o en monitoreo continuo de largo plazo.</w:t>
      </w:r>
    </w:p>
    <w:sectPr w:rsidR="00FC693F" w:rsidRPr="0006063C" w:rsidSect="00034616">
      <w:footerReference w:type="default" r:id="rId9"/>
      <w:pgSz w:w="15840" w:h="12240" w:orient="landscape"/>
      <w:pgMar w:top="936" w:right="936" w:bottom="936"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646464"/>
        <w:sz w:val="16"/>
      </w:rPr>
      <w:t>Matriz y estado del arte ? Research on odor prediction methods for coal spontaneous combustion based on E-nose technology</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rial" w:hAnsi="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Arial" w:hAnsi="Arial" w:eastAsia="Arial"/>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rial" w:hAnsi="Arial" w:eastAsia="Arial"/>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Arial" w:hAnsi="Arial" w:eastAsia="Arial"/>
      <w:b/>
      <w:bCs/>
      <w:color w:val="434343"/>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