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457" w:tblpY="1134"/>
        <w:tblOverlap w:val="never"/>
        <w:tblW w:w="11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516"/>
        <w:gridCol w:w="516"/>
        <w:gridCol w:w="516"/>
        <w:gridCol w:w="517"/>
        <w:gridCol w:w="517"/>
        <w:gridCol w:w="517"/>
        <w:gridCol w:w="517"/>
        <w:gridCol w:w="517"/>
        <w:gridCol w:w="517"/>
        <w:gridCol w:w="518"/>
        <w:gridCol w:w="56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  <w:gridCol w:w="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a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0"/>
                <w:szCs w:val="40"/>
                <w:lang w:val="en-US"/>
              </w:rPr>
              <w:t>m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à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n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á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o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ả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ò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ã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ó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ạ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ỏ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ă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õ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ằ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ọ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ắ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 xml:space="preserve">ô 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ẳ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 xml:space="preserve">ồ 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ẵ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ố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ặ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ổ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â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ỗ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ầ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ộ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ấ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ơ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ẩ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ờ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ẫ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ớ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ậ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ở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b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ỡ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c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ợ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d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p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đ</w:t>
            </w: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6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7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68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q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</w:tbl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tbl>
      <w:tblPr>
        <w:tblStyle w:val="4"/>
        <w:tblpPr w:leftFromText="180" w:rightFromText="180" w:vertAnchor="page" w:horzAnchor="page" w:tblpX="468" w:tblpY="1931"/>
        <w:tblOverlap w:val="never"/>
        <w:tblW w:w="11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518"/>
        <w:gridCol w:w="518"/>
        <w:gridCol w:w="532"/>
        <w:gridCol w:w="518"/>
        <w:gridCol w:w="518"/>
        <w:gridCol w:w="518"/>
        <w:gridCol w:w="518"/>
        <w:gridCol w:w="518"/>
        <w:gridCol w:w="518"/>
        <w:gridCol w:w="519"/>
        <w:gridCol w:w="526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  <w:gridCol w:w="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e</w:t>
            </w:r>
          </w:p>
        </w:tc>
        <w:tc>
          <w:tcPr>
            <w:tcW w:w="518" w:type="dxa"/>
            <w:vAlign w:val="top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  <w:vAlign w:val="top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 w:cstheme="minorBidi"/>
                <w:sz w:val="44"/>
                <w:szCs w:val="44"/>
                <w:lang w:val="en-US" w:eastAsia="en-US" w:bidi="ar-SA"/>
              </w:rPr>
              <w:t>r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è</w:t>
            </w:r>
          </w:p>
        </w:tc>
        <w:tc>
          <w:tcPr>
            <w:tcW w:w="518" w:type="dxa"/>
            <w:vAlign w:val="top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  <w:vAlign w:val="top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s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é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t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ẻ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u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ẽ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ù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ẹ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ú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ê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ủ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ề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 xml:space="preserve">ũ 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ế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ụ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ể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ư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ễ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ừ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ệ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ứ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g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ử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h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ữ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i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ự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ì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v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í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x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ỉ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y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ĩ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ỳ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ị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ý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k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ỷ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l</w:t>
            </w: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ỹ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518" w:type="dxa"/>
          </w:tcPr>
          <w:p>
            <w:pPr>
              <w:spacing w:after="0" w:line="240" w:lineRule="auto"/>
              <w:rPr>
                <w:rFonts w:hint="default"/>
                <w:sz w:val="44"/>
                <w:szCs w:val="44"/>
                <w:lang w:val="en-US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32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8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6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ind w:left="0" w:leftChars="0" w:firstLine="0" w:firstLineChars="0"/>
              <w:rPr>
                <w:rFonts w:hint="default" w:asciiTheme="minorHAnsi" w:hAnsiTheme="minorHAnsi" w:eastAsiaTheme="minorHAnsi" w:cstheme="minorBidi"/>
                <w:sz w:val="44"/>
                <w:szCs w:val="44"/>
                <w:lang w:val="en-US" w:eastAsia="en-US" w:bidi="ar-SA"/>
              </w:rPr>
            </w:pPr>
            <w:r>
              <w:rPr>
                <w:rFonts w:hint="default"/>
                <w:sz w:val="44"/>
                <w:szCs w:val="44"/>
                <w:lang w:val="en-US"/>
              </w:rPr>
              <w:t>ỵ</w:t>
            </w: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19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  <w:tc>
          <w:tcPr>
            <w:tcW w:w="520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</w:p>
        </w:tc>
      </w:tr>
    </w:tbl>
    <w:p>
      <w:pPr>
        <w:rPr>
          <w:rFonts w:hint="default"/>
          <w:sz w:val="44"/>
          <w:szCs w:val="44"/>
          <w:lang w:val="en-US"/>
        </w:rPr>
      </w:pPr>
      <w:bookmarkStart w:id="0" w:name="_GoBack"/>
      <w:bookmarkEnd w:id="0"/>
    </w:p>
    <w:sectPr>
      <w:pgSz w:w="12240" w:h="15840"/>
      <w:pgMar w:top="780" w:right="460" w:bottom="980" w:left="3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E2"/>
    <w:rsid w:val="00174AED"/>
    <w:rsid w:val="004A55EF"/>
    <w:rsid w:val="006662E2"/>
    <w:rsid w:val="00AB6195"/>
    <w:rsid w:val="12E53446"/>
    <w:rsid w:val="196E405B"/>
    <w:rsid w:val="344A6327"/>
    <w:rsid w:val="7ED0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2021-06-20T02:20:00Z</dcterms:created>
  <dc:creator>Trịnh Tuấn Nam</dc:creator>
  <cp:lastModifiedBy>Nguyễn Dương Hải</cp:lastModifiedBy>
  <cp:lastPrinted>2021-06-20T03:44:00Z</cp:lastPrinted>
  <dcterms:modified xsi:type="dcterms:W3CDTF">2021-06-22T07:57:42Z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