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b/>
          <w:color w:val="1F3864"/>
          <w:sz w:val="44"/>
        </w:rPr>
        <w:t>TeamPulse 项目开发计划书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595959"/>
          <w:sz w:val="28"/>
        </w:rPr>
        <w:t>范围 / 里程碑 / 分工 / 质量 / 配置管理 / 风险</w:t>
      </w:r>
    </w:p>
    <w:p/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形式：单人全栈开发（1 人承担需求、设计、编码、测试、部署）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周期：约 12 周（含文档与上线）</w:t>
      </w:r>
    </w:p>
    <w:p>
      <w:pPr>
        <w:spacing w:line="360" w:lineRule="auto"/>
        <w:ind w:firstLine="0"/>
        <w:jc w:val="center"/>
      </w:pPr>
      <w:r>
        <w:rPr>
          <w:rFonts w:ascii="Times New Roman" w:hAnsi="Times New Roman" w:eastAsia="黑体"/>
          <w:color w:val="404040"/>
          <w:sz w:val="28"/>
        </w:rPr>
        <w:t>文档版本 v1.0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1　项目概述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7200"/>
      </w:tblGrid>
      <w:tr>
        <w:trPr>
          <w:tblHeader/>
        </w:trPr>
        <w:tc>
          <w:tcPr>
            <w:tcW w:type="dxa" w:w="172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type="dxa" w:w="720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项目名称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TeamPulse 团队协作与物联网考勤平台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目标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把实训遗留系统改造为「6 角色 RBAC + 物联网打卡 + 可观测 + 可部署」的可用系统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交付形态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Web 应用（前后端分离）+ 嵌入式固件 + 容器化部署包 + 文档集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开发方式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单人全栈，Git 主干开发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代码规模</w:t>
            </w:r>
          </w:p>
        </w:tc>
        <w:tc>
          <w:tcPr>
            <w:tcW w:type="dxa" w:w="720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后端 125 文件 / 约 1.1 万行；前端 37 页面 / 约 1.7 万行；固件约 1100 行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2　工作分解（WBS）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7"/>
        <w:gridCol w:w="2160"/>
        <w:gridCol w:w="3456"/>
        <w:gridCol w:w="1007"/>
        <w:gridCol w:w="1296"/>
      </w:tblGrid>
      <w:tr>
        <w:trPr>
          <w:tblHeader/>
        </w:trPr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type="dxa" w:w="2160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工作包</w:t>
            </w:r>
          </w:p>
        </w:tc>
        <w:tc>
          <w:tcPr>
            <w:tcW w:type="dxa" w:w="345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主要产出</w:t>
            </w:r>
          </w:p>
        </w:tc>
        <w:tc>
          <w:tcPr>
            <w:tcW w:type="dxa" w:w="100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预估</w:t>
            </w:r>
          </w:p>
        </w:tc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WP-01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调研与重构设计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数据模型 v2、权限矩阵、接口清单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WP-02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数据库与迁移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V1~V8 迁移、21 表、种子数据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0.5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WP-03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认证与 RBAC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JWT、方法级权限、数据范围下推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1.5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WP-04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协作域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日程/看板/日志/评论/敏感词/团队/用户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WP-05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考勤域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设备、规则、打卡判定、日汇总、补卡审批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2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WP-06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物联网接入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ESP32 固件（UART/JSON/HMAC/MQTT）+ 模拟器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1.5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完成（模拟器）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WP-07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前端重建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37 页面、三套日历、检索体系、仪表盘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WP-08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审计与可观测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审计 AOP、traceId、Prometheus 指标、Grafana 看板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WP-09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单测 11、集成 5、接口断言 46、权限审计、压测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  <w:tr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WP-10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部署与运维</w:t>
            </w:r>
          </w:p>
        </w:tc>
        <w:tc>
          <w:tcPr>
            <w:tcW w:type="dxa" w:w="345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compose、部署脚本、部署手册、云上上线</w:t>
            </w:r>
          </w:p>
        </w:tc>
        <w:tc>
          <w:tcPr>
            <w:tcW w:type="dxa" w:w="100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0.5 周</w:t>
            </w:r>
          </w:p>
        </w:tc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完成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3　里程碑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85"/>
        <w:gridCol w:w="4464"/>
        <w:gridCol w:w="2678"/>
      </w:tblGrid>
      <w:tr>
        <w:trPr>
          <w:tblHeader/>
        </w:trPr>
        <w:tc>
          <w:tcPr>
            <w:tcW w:type="dxa" w:w="178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里程碑</w:t>
            </w:r>
          </w:p>
        </w:tc>
        <w:tc>
          <w:tcPr>
            <w:tcW w:type="dxa" w:w="446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判定标准</w:t>
            </w:r>
          </w:p>
        </w:tc>
        <w:tc>
          <w:tcPr>
            <w:tcW w:type="dxa" w:w="267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实际结果</w:t>
            </w:r>
          </w:p>
        </w:tc>
      </w:tr>
      <w:tr>
        <w:tc>
          <w:tcPr>
            <w:tcW w:type="dxa" w:w="178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M1 设计冻结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数据模型、权限矩阵、接口清单评审通过</w:t>
            </w:r>
          </w:p>
        </w:tc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78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M2 后端可跑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Flyway 建库 + 登录 + 核心 CRUD 通</w:t>
            </w:r>
          </w:p>
        </w:tc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78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M3 前端可用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37 页面可访问，权限内菜单正确</w:t>
            </w:r>
          </w:p>
        </w:tc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已完成</w:t>
            </w:r>
          </w:p>
        </w:tc>
      </w:tr>
      <w:tr>
        <w:tc>
          <w:tcPr>
            <w:tcW w:type="dxa" w:w="178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M4 打卡闭环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设备上报 → 判定 → 日汇总 → 前端可见</w:t>
            </w:r>
          </w:p>
        </w:tc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已完成（模拟器）</w:t>
            </w:r>
          </w:p>
        </w:tc>
      </w:tr>
      <w:tr>
        <w:tc>
          <w:tcPr>
            <w:tcW w:type="dxa" w:w="178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M5 质量达标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接口断言全绿、无 P0/P1 缺陷</w:t>
            </w:r>
          </w:p>
        </w:tc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已完成（46/46、0 失败）</w:t>
            </w:r>
          </w:p>
        </w:tc>
      </w:tr>
      <w:tr>
        <w:tc>
          <w:tcPr>
            <w:tcW w:type="dxa" w:w="178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M6 上线</w:t>
            </w:r>
          </w:p>
        </w:tc>
        <w:tc>
          <w:tcPr>
            <w:tcW w:type="dxa" w:w="446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云服务器 5 容器 healthy、公网可访问</w:t>
            </w:r>
          </w:p>
        </w:tc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已完成（www.team-pulse.site）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4　资源计划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88"/>
        <w:gridCol w:w="3868"/>
        <w:gridCol w:w="3571"/>
      </w:tblGrid>
      <w:tr>
        <w:trPr>
          <w:tblHeader/>
        </w:trPr>
        <w:tc>
          <w:tcPr>
            <w:tcW w:type="dxa" w:w="148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资源</w:t>
            </w:r>
          </w:p>
        </w:tc>
        <w:tc>
          <w:tcPr>
            <w:tcW w:type="dxa" w:w="386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配置</w:t>
            </w:r>
          </w:p>
        </w:tc>
        <w:tc>
          <w:tcPr>
            <w:tcW w:type="dxa" w:w="357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人力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1 人（全栈）</w:t>
            </w:r>
          </w:p>
        </w:tc>
        <w:tc>
          <w:tcPr>
            <w:tcW w:type="dxa" w:w="357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需求/设计/编码/测试/部署/文档</w:t>
            </w:r>
          </w:p>
        </w:tc>
      </w:tr>
      <w:tr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开发机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Windows 11 + JDK17 + MySQL 8 + Node 20</w:t>
            </w:r>
          </w:p>
        </w:tc>
        <w:tc>
          <w:tcPr>
            <w:tcW w:type="dxa" w:w="357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本地开发与自测</w:t>
            </w:r>
          </w:p>
        </w:tc>
      </w:tr>
      <w:tr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容器环境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Docker Desktop（WSL2）</w:t>
            </w:r>
          </w:p>
        </w:tc>
        <w:tc>
          <w:tcPr>
            <w:tcW w:type="dxa" w:w="357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镜像构建与编排验证</w:t>
            </w:r>
          </w:p>
        </w:tc>
      </w:tr>
      <w:tr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云服务器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腾讯云轻量 4C4G（Rocky Linux 10）</w:t>
            </w:r>
          </w:p>
        </w:tc>
        <w:tc>
          <w:tcPr>
            <w:tcW w:type="dxa" w:w="357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演示与验收环境</w:t>
            </w:r>
          </w:p>
        </w:tc>
      </w:tr>
      <w:tr>
        <w:tc>
          <w:tcPr>
            <w:tcW w:type="dxa" w:w="148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硬件（可选）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ESP32 + RC522</w:t>
            </w:r>
          </w:p>
        </w:tc>
        <w:tc>
          <w:tcPr>
            <w:tcW w:type="dxa" w:w="357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真实刷卡验证；无硬件用模拟器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5　质量保证计划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78"/>
        <w:gridCol w:w="2380"/>
        <w:gridCol w:w="3868"/>
      </w:tblGrid>
      <w:tr>
        <w:trPr>
          <w:tblHeader/>
        </w:trPr>
        <w:tc>
          <w:tcPr>
            <w:tcW w:type="dxa" w:w="267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手段</w:t>
            </w:r>
          </w:p>
        </w:tc>
        <w:tc>
          <w:tcPr>
            <w:tcW w:type="dxa" w:w="2381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频率</w:t>
            </w:r>
          </w:p>
        </w:tc>
        <w:tc>
          <w:tcPr>
            <w:tcW w:type="dxa" w:w="3869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判定标准</w:t>
            </w:r>
          </w:p>
        </w:tc>
      </w:tr>
      <w:tr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单元测试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每次提交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考勤判定算法全绿</w:t>
            </w:r>
          </w:p>
        </w:tc>
      </w:tr>
      <w:tr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接口断言（46 项）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每次改动 / 上线前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0 失败</w:t>
            </w:r>
          </w:p>
        </w:tc>
      </w:tr>
      <w:tr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权限审计（6 角色 × 16 路由）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权限相关改动后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无「看得到摸不到」</w:t>
            </w:r>
          </w:p>
        </w:tc>
      </w:tr>
      <w:tr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压测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上线前 / 改索引后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P95 ≤ 100ms、0 失败</w:t>
            </w:r>
          </w:p>
        </w:tc>
      </w:tr>
      <w:tr>
        <w:tc>
          <w:tcPr>
            <w:tcW w:type="dxa" w:w="267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代码评审</w:t>
            </w:r>
          </w:p>
        </w:tc>
        <w:tc>
          <w:tcPr>
            <w:tcW w:type="dxa" w:w="2381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单人项目：自检清单</w:t>
            </w:r>
          </w:p>
        </w:tc>
        <w:tc>
          <w:tcPr>
            <w:tcW w:type="dxa" w:w="3869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钩子拦截密钥、编译零警告目标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6　配置管理与交付物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6.1　配置管理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Git 主干开发，提交信息带类型前缀（feat/fix/docs/test/chore）。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pre-commit 钩子拦截硬编码密码、64 位十六进制密钥、私钥文件。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敏感配置全部走 .env（不入库），compose 与 application-prod 均为 fail-closed。</w:t>
      </w:r>
    </w:p>
    <w:p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数据库变更只用 Flyway 增量脚本，不手工改线上表结构。</w:t>
      </w:r>
    </w:p>
    <w:p>
      <w:pPr>
        <w:pStyle w:val="Heading2"/>
        <w:ind w:firstLine="0"/>
      </w:pPr>
      <w:r>
        <w:rPr>
          <w:rFonts w:ascii="Times New Roman" w:hAnsi="Times New Roman" w:eastAsia="黑体"/>
          <w:b/>
          <w:sz w:val="28"/>
        </w:rPr>
        <w:t>6.2　交付物清单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96"/>
        <w:gridCol w:w="7632"/>
      </w:tblGrid>
      <w:tr>
        <w:trPr>
          <w:tblHeader/>
        </w:trPr>
        <w:tc>
          <w:tcPr>
            <w:tcW w:type="dxa" w:w="129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type="dxa" w:w="7632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交付物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源代码</w:t>
            </w:r>
          </w:p>
        </w:tc>
        <w:tc>
          <w:tcPr>
            <w:tcW w:type="dxa" w:w="763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后端（Spring Boot）、前端（Vue 3）、固件（ESP32）、部署脚本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文档</w:t>
            </w:r>
          </w:p>
        </w:tc>
        <w:tc>
          <w:tcPr>
            <w:tcW w:type="dxa" w:w="763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可行性研究、开发计划、需求规格、总体设计、详细设计、数据库设计、接口文档、测试计划与报告、用户手册、部署说明、运维手册、系统图册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type="dxa" w:w="763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单元测试、集成测试、接口断言脚本、权限审计脚本、压测脚本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type="dxa" w:w="763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docker-compose、Dockerfile、Nginx 配置、部署脚本、健康检查</w:t>
            </w:r>
          </w:p>
        </w:tc>
      </w:tr>
      <w:tr>
        <w:tc>
          <w:tcPr>
            <w:tcW w:type="dxa" w:w="129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运维</w:t>
            </w:r>
          </w:p>
        </w:tc>
        <w:tc>
          <w:tcPr>
            <w:tcW w:type="dxa" w:w="7632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备份脚本、监控配置（Prometheus/Grafana）、部署验证记录</w:t>
            </w:r>
          </w:p>
        </w:tc>
      </w:tr>
    </w:tbl>
    <w:p/>
    <w:p>
      <w:pPr>
        <w:pStyle w:val="Heading1"/>
        <w:ind w:firstLine="0"/>
      </w:pPr>
      <w:r>
        <w:rPr>
          <w:rFonts w:ascii="Times New Roman" w:hAnsi="Times New Roman" w:eastAsia="黑体"/>
          <w:b/>
          <w:sz w:val="32"/>
        </w:rPr>
        <w:t>7　风险与变更控制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5"/>
        <w:gridCol w:w="3168"/>
        <w:gridCol w:w="3744"/>
      </w:tblGrid>
      <w:tr>
        <w:trPr>
          <w:tblHeader/>
        </w:trPr>
        <w:tc>
          <w:tcPr>
            <w:tcW w:type="dxa" w:w="2016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风险</w:t>
            </w:r>
          </w:p>
        </w:tc>
        <w:tc>
          <w:tcPr>
            <w:tcW w:type="dxa" w:w="3168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触发信号</w:t>
            </w:r>
          </w:p>
        </w:tc>
        <w:tc>
          <w:tcPr>
            <w:tcW w:type="dxa" w:w="3744"/>
            <w:shd w:val="clear" w:fill="E8EEF6" w:color="auto"/>
          </w:tcPr>
          <w:p>
            <w:pPr>
              <w:spacing w:after="0"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应对预案</w:t>
            </w:r>
          </w:p>
        </w:tc>
      </w:tr>
      <w:tr>
        <w:tc>
          <w:tcPr>
            <w:tcW w:type="dxa" w:w="20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范围膨胀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不断加功能导致延期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每条新需求先问「是否影响本期验收」，不进本期就记入待办</w:t>
            </w:r>
          </w:p>
        </w:tc>
      </w:tr>
      <w:tr>
        <w:tc>
          <w:tcPr>
            <w:tcW w:type="dxa" w:w="20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依赖不可用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GitHub/Docker Hub 拉取失败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切镜像源；服务器改用本地打包推送通道</w:t>
            </w:r>
          </w:p>
        </w:tc>
      </w:tr>
      <w:tr>
        <w:tc>
          <w:tcPr>
            <w:tcW w:type="dxa" w:w="20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线上故障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健康检查失败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按运维手册 SOP 回滚；数据库先备份</w:t>
            </w:r>
          </w:p>
        </w:tc>
      </w:tr>
      <w:tr>
        <w:tc>
          <w:tcPr>
            <w:tcW w:type="dxa" w:w="2016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进度滞后</w:t>
            </w:r>
          </w:p>
        </w:tc>
        <w:tc>
          <w:tcPr>
            <w:tcW w:type="dxa" w:w="3168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里程碑未按期</w:t>
            </w:r>
          </w:p>
        </w:tc>
        <w:tc>
          <w:tcPr>
            <w:tcW w:type="dxa" w:w="3744"/>
          </w:tcPr>
          <w:p>
            <w:pPr>
              <w:spacing w:after="0" w:line="240" w:lineRule="auto"/>
              <w:ind w:firstLine="0"/>
            </w:pPr>
            <w:r>
              <w:rPr>
                <w:rFonts w:ascii="Times New Roman" w:hAnsi="Times New Roman" w:eastAsia="宋体"/>
                <w:sz w:val="18"/>
              </w:rPr>
            </w:r>
            <w:r>
              <w:rPr>
                <w:rFonts w:ascii="Times New Roman" w:hAnsi="Times New Roman" w:eastAsia="宋体"/>
                <w:sz w:val="21"/>
              </w:rPr>
              <w:t>砍非核心功能（如看板拖拽美化），保交付主线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60" w:lineRule="auto" w:before="0"/>
      <w:ind w:firstLine="420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