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ind w:firstLine="0"/>
      </w:pPr>
      <w:r>
        <w:rPr>
          <w:rFonts w:ascii="Times New Roman" w:hAnsi="Times New Roman" w:eastAsia="黑体"/>
          <w:b/>
          <w:color w:val="0F2B46"/>
          <w:sz w:val="44"/>
        </w:rPr>
        <w:t>TeamPulse 代码文件结构（2026-10-27 重算）</w:t>
      </w:r>
    </w:p>
    <w:p>
      <w:pPr>
        <w:spacing w:after="200" w:line="360" w:lineRule="auto"/>
        <w:ind w:firstLine="420"/>
      </w:pPr>
      <w:r>
        <w:rPr>
          <w:rFonts w:ascii="Times New Roman" w:hAnsi="Times New Roman" w:eastAsia="宋体"/>
          <w:b w:val="0"/>
          <w:color w:val="5A7290"/>
          <w:sz w:val="21"/>
        </w:rPr>
        <w:t>统计口径：backend/src/main/java 下的 .java、frontend/src 下的 .vue 与 .js、db/migration 下的 .sql。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F2B46"/>
          <w:sz w:val="32"/>
        </w:rPr>
        <w:t>一、总体规模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103"/>
      </w:tblGrid>
      <w:tr>
        <w:trPr>
          <w:tblHeader/>
        </w:trPr>
        <w:tc>
          <w:tcPr>
            <w:tcW w:type="dxa" w:w="2835"/>
            <w:shd w:fill="E8EEF6" w:val="clear" w:color="auto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5102"/>
            <w:shd w:fill="E8EEF6" w:val="clear" w:color="auto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后端 Java 文件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125（约 9 841 行）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后端测试文件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1（AttendanceCalculatorTest，11 个用例）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控制器 / REST 接口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16 个 / 90 个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数据表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21（15 业务 + 6 权限·审批·审计，含 flyway 历史表）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数据库迁移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8（V1~V8）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前端 Vue 组件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42（约 16 586 行）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前端 JS 模块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ESP32 固件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 个 .ino（约 1 100 行）</w:t>
            </w:r>
          </w:p>
        </w:tc>
      </w:tr>
    </w:tbl>
    <w:p>
      <w:pPr>
        <w:spacing w:after="20"/>
      </w:pP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F2B46"/>
          <w:sz w:val="32"/>
        </w:rPr>
        <w:t>二、顶层目录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E:\codestorge\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backend/      后端（Spring Boot，125 个 Java 文件 + 资源与迁移）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frontend/     前端（Vue 3 + Vite，42 个组件，含生产 nginx.conf）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device/       硬件侧（ESP32 固件 + HTTP/MQTT 模拟器）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deploy/       部署资产（compose 依赖的 mysql/mosquitto 配置、发布与备份脚本）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scripts/      本地启停与工具脚本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docs/         diagrams（用例图/ER 图）+ gen（文档生成脚本）+ 需求规格 + 交接文档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.github/      workflows/ci.yml（后端测试 + 前端构建 + 契约检查）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_legacy/      改造前旧代码归档（不参与运行）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├── .env.example  环境变量模板</w:t>
      </w:r>
    </w:p>
    <w:p>
      <w:pPr>
        <w:spacing w:line="240" w:lineRule="auto"/>
        <w:ind w:firstLine="0"/>
      </w:pPr>
      <w:r>
        <w:rPr>
          <w:rFonts w:ascii="Consolas" w:hAnsi="Consolas" w:eastAsia="宋体"/>
          <w:b w:val="0"/>
          <w:sz w:val="18"/>
        </w:rPr>
        <w:t>└── README.md     项目入口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F2B46"/>
          <w:sz w:val="32"/>
        </w:rPr>
        <w:t>三、后端关键路径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556"/>
      </w:tblGrid>
      <w:tr>
        <w:trPr>
          <w:tblHeader/>
        </w:trPr>
        <w:tc>
          <w:tcPr>
            <w:tcW w:type="dxa" w:w="3628"/>
            <w:shd w:fill="E8EEF6" w:val="clear" w:color="auto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5556"/>
            <w:shd w:fill="E8EEF6" w:val="clear" w:color="auto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java/com/teampulse/common/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统一响应、分页、异常、基础实体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java/com/teampulse/config/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安全、MyBatis-Plus、MQTT、Swagger、可观测性过滤器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java/com/teampulse/security/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JWT 过滤器、LoginUser、SecurityUtils、Perms 权限常量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java/com/teampulse/module/auth/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登录注册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java/com/teampulse/module/user/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用户 CRUD、部门与角色绑定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java/com/teampulse/module/rbac/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部门、角色、权限、数据范围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java/com/teampulse/module/audit/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审计注解、切面、查询（含 audit_log 实体与接口）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java/com/teampulse/module/team/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团队与成员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java/com/teampulse/module/schedule/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日程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java/com/teampulse/module/kanban/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看板三层模型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java/com/teampulse/module/worklog/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工作日志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java/com/teampulse/module/comment/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评论与敏感词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java/com/teampulse/module/attendance/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打卡、规则、日汇总、补卡审批、设备、指标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java/com/teampulse/module/dashboard/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概览与趋势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resources/db/migration/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V1 协作域、V2 考勤域、V3 字典、V4 RBAC+部门+审批、V5 审计权限、V6 审计日志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resources/logback-spring.xml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带 traceId 的日志格式与滚动策略</w:t>
            </w:r>
          </w:p>
        </w:tc>
      </w:tr>
    </w:tbl>
    <w:p>
      <w:pPr>
        <w:spacing w:after="20"/>
      </w:pPr>
    </w:p>
    <w:p>
      <w:pPr>
        <w:pStyle w:val="Heading1"/>
        <w:ind w:firstLine="0"/>
      </w:pPr>
      <w:r>
        <w:rPr>
          <w:rFonts w:ascii="Times New Roman" w:hAnsi="Times New Roman" w:eastAsia="黑体"/>
          <w:b/>
          <w:color w:val="0F2B46"/>
          <w:sz w:val="32"/>
        </w:rPr>
        <w:t>四、前端关键路径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556"/>
      </w:tblGrid>
      <w:tr>
        <w:trPr>
          <w:tblHeader/>
        </w:trPr>
        <w:tc>
          <w:tcPr>
            <w:tcW w:type="dxa" w:w="3628"/>
            <w:shd w:fill="E8EEF6" w:val="clear" w:color="auto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5556"/>
            <w:shd w:fill="E8EEF6" w:val="clear" w:color="auto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src/api/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axios 实例（http.js，含超时/401/traceId 处理）与模块接口封装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src/utils/netErrors.js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全局网络异常状态与重试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src/stores/auth.js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登录态 + 角色 + 权限点 + 数据范围（hasPerm / canUseAdminPanel）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src/router/index.js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路由与守卫（按权限决定可进哪个面板）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src/layouts/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AdminLayout（菜单按权限渲染）/ UserLayout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src/views/dashboard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仪表盘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src/views/overview/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公司概览（含打卡分析）/ 我的概览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src/views/attendance/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考勤看板、打卡记录、员工详情、设备、规则、补卡审批、考勤日历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src/views/audit/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审计日志（筛选 + 详情抽屉 + traceId 复制）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src/views/schedule|kanban|worklog|comment|teams|users/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各业务模块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src/views/user/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用户工作台（首页、我的考勤、我的团队等）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src/utils/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dict（枚举中文）、attendance（打卡文案）、sensitive（敏感词）</w:t>
            </w:r>
          </w:p>
        </w:tc>
      </w:tr>
      <w:tr>
        <w:tc>
          <w:tcPr>
            <w:tcW w:type="dxa" w:w="362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src/styles/index.css</w:t>
            </w:r>
          </w:p>
        </w:tc>
        <w:tc>
          <w:tcPr>
            <w:tcW w:type="dxa" w:w="5556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淡蓝主题变量与全局卡片/表格样式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