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b/>
          <w:color w:val="1F3864"/>
          <w:sz w:val="44"/>
        </w:rPr>
        <w:t>TeamPulse 总体设计说明书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595959"/>
          <w:sz w:val="28"/>
        </w:rPr>
        <w:t>团队协作与物联网考勤平台 · 架构与模块设计</w:t>
      </w:r>
    </w:p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架构风格：单体（Monolith）+ 前后端分离 + 单机容器化部署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规模：后端 125 个 Java 文件 / 11307 行；前端 37 个页面 / 17014 行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接口：16 个控制器 / 90 个端点 / 32 处方法级权限注解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文档版本 v1.0　基线：main 分支 + 线上 81.70.102.116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1　概述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1.1　编写目的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说明系统总体架构、模块划分、关键技术方案与部署形态，是需求（SRS）与详细设计（DDD）之间的桥梁。读者可据此判断「系统怎么分层、模块边界在哪、为什么这么选」。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1.2　设计目标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单人可维护：一个开发者能在一天内看懂全部代码，不依赖团队协作流程。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单机可运行：4C4G 一台服务器跑完整系统（数据库、缓存、消息、后端、前端）。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故障可定位：每个请求有 traceId，错误有统一错误码，越权有审计留痕。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可演示：6 个角色、22 个权限点、真实设备上报链路，开箱即可演示。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1.3　明确的边界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本期**不做**微服务、不做分布式事务、不做多租户、不做移动端。理由不是「不会」，而是这套规模下引入这些复杂度会显著降低可维护性，且无法在单机上验证。相关决策记录见《详细设计与 ADR》。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2　总体架构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2.1　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7"/>
        <w:gridCol w:w="3061"/>
        <w:gridCol w:w="2168"/>
        <w:gridCol w:w="2550"/>
      </w:tblGrid>
      <w:tr>
        <w:trPr>
          <w:tblHeader/>
        </w:trPr>
        <w:tc>
          <w:tcPr>
            <w:tcW w:type="dxa" w:w="11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层</w:t>
            </w:r>
          </w:p>
        </w:tc>
        <w:tc>
          <w:tcPr>
            <w:tcW w:type="dxa" w:w="3061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  <w:tc>
          <w:tcPr>
            <w:tcW w:type="dxa" w:w="216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包路径</w:t>
            </w:r>
          </w:p>
        </w:tc>
        <w:tc>
          <w:tcPr>
            <w:tcW w:type="dxa" w:w="2551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</w:tr>
      <w:tr>
        <w:tc>
          <w:tcPr>
            <w:tcW w:type="dxa" w:w="11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接入层</w:t>
            </w:r>
          </w:p>
        </w:tc>
        <w:tc>
          <w:tcPr>
            <w:tcW w:type="dxa" w:w="306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HTTP 路由、参数校验、权限注解、统一响应</w:t>
            </w:r>
          </w:p>
        </w:tc>
        <w:tc>
          <w:tcPr>
            <w:tcW w:type="dxa" w:w="2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*.controller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不写业务逻辑，不直接调 Mapper</w:t>
            </w:r>
          </w:p>
        </w:tc>
      </w:tr>
      <w:tr>
        <w:tc>
          <w:tcPr>
            <w:tcW w:type="dxa" w:w="11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应用层</w:t>
            </w:r>
          </w:p>
        </w:tc>
        <w:tc>
          <w:tcPr>
            <w:tcW w:type="dxa" w:w="306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业务编排、事务边界、跨模块协作</w:t>
            </w:r>
          </w:p>
        </w:tc>
        <w:tc>
          <w:tcPr>
            <w:tcW w:type="dxa" w:w="2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*.service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唯一允许开启事务的地方</w:t>
            </w:r>
          </w:p>
        </w:tc>
      </w:tr>
      <w:tr>
        <w:tc>
          <w:tcPr>
            <w:tcW w:type="dxa" w:w="11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领域支撑</w:t>
            </w:r>
          </w:p>
        </w:tc>
        <w:tc>
          <w:tcPr>
            <w:tcW w:type="dxa" w:w="306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数据范围、RBAC、审计、错误码</w:t>
            </w:r>
          </w:p>
        </w:tc>
        <w:tc>
          <w:tcPr>
            <w:tcW w:type="dxa" w:w="2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config / common / rbac / audit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被多个模块复用，禁止反向依赖业务模块</w:t>
            </w:r>
          </w:p>
        </w:tc>
      </w:tr>
      <w:tr>
        <w:tc>
          <w:tcPr>
            <w:tcW w:type="dxa" w:w="11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持久层</w:t>
            </w:r>
          </w:p>
        </w:tc>
        <w:tc>
          <w:tcPr>
            <w:tcW w:type="dxa" w:w="306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CRUD 与查询构造</w:t>
            </w:r>
          </w:p>
        </w:tc>
        <w:tc>
          <w:tcPr>
            <w:tcW w:type="dxa" w:w="2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*.mapper + entity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只做数据访问，不含业务判断</w:t>
            </w:r>
          </w:p>
        </w:tc>
      </w:tr>
      <w:tr>
        <w:tc>
          <w:tcPr>
            <w:tcW w:type="dxa" w:w="11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横切</w:t>
            </w:r>
          </w:p>
        </w:tc>
        <w:tc>
          <w:tcPr>
            <w:tcW w:type="dxa" w:w="306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认证过滤器、可观测性过滤器、异常处理、AOP</w:t>
            </w:r>
          </w:p>
        </w:tc>
        <w:tc>
          <w:tcPr>
            <w:tcW w:type="dxa" w:w="2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config / common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对所有请求生效，顺序有明确约定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2.2　部署视图（线上实际形态）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2"/>
        <w:gridCol w:w="1984"/>
        <w:gridCol w:w="1364"/>
        <w:gridCol w:w="2852"/>
        <w:gridCol w:w="1116"/>
      </w:tblGrid>
      <w:tr>
        <w:trPr>
          <w:tblHeader/>
        </w:trPr>
        <w:tc>
          <w:tcPr>
            <w:tcW w:type="dxa" w:w="161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服务</w:t>
            </w:r>
          </w:p>
        </w:tc>
        <w:tc>
          <w:tcPr>
            <w:tcW w:type="dxa" w:w="198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镜像</w:t>
            </w:r>
          </w:p>
        </w:tc>
        <w:tc>
          <w:tcPr>
            <w:tcW w:type="dxa" w:w="136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端口</w:t>
            </w:r>
          </w:p>
        </w:tc>
        <w:tc>
          <w:tcPr>
            <w:tcW w:type="dxa" w:w="285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  <w:tc>
          <w:tcPr>
            <w:tcW w:type="dxa" w:w="111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资源限制</w:t>
            </w:r>
          </w:p>
        </w:tc>
      </w:tr>
      <w:tr>
        <w:tc>
          <w:tcPr>
            <w:tcW w:type="dxa" w:w="16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tp-frontend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teampulse/frontend:1.0.0</w:t>
            </w:r>
          </w:p>
        </w:tc>
        <w:tc>
          <w:tcPr>
            <w:tcW w:type="dxa" w:w="13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80</w:t>
            </w:r>
          </w:p>
        </w:tc>
        <w:tc>
          <w:tcPr>
            <w:tcW w:type="dxa" w:w="28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Nginx 托管 SPA + 反向代理 /api、/iot、/actuator</w:t>
            </w:r>
          </w:p>
        </w:tc>
        <w:tc>
          <w:tcPr>
            <w:tcW w:type="dxa" w:w="11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内存上限 256M</w:t>
            </w:r>
          </w:p>
        </w:tc>
      </w:tr>
      <w:tr>
        <w:tc>
          <w:tcPr>
            <w:tcW w:type="dxa" w:w="16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tp-backend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teampulse/backend:1.0.0</w:t>
            </w:r>
          </w:p>
        </w:tc>
        <w:tc>
          <w:tcPr>
            <w:tcW w:type="dxa" w:w="13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8080（仅内网）</w:t>
            </w:r>
          </w:p>
        </w:tc>
        <w:tc>
          <w:tcPr>
            <w:tcW w:type="dxa" w:w="28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Spring Boot 单体应用</w:t>
            </w:r>
          </w:p>
        </w:tc>
        <w:tc>
          <w:tcPr>
            <w:tcW w:type="dxa" w:w="11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内存上限 1G</w:t>
            </w:r>
          </w:p>
        </w:tc>
      </w:tr>
      <w:tr>
        <w:tc>
          <w:tcPr>
            <w:tcW w:type="dxa" w:w="16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tp-mysql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mysql:8.0</w:t>
            </w:r>
          </w:p>
        </w:tc>
        <w:tc>
          <w:tcPr>
            <w:tcW w:type="dxa" w:w="13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127.0.0.1:3306</w:t>
            </w:r>
          </w:p>
        </w:tc>
        <w:tc>
          <w:tcPr>
            <w:tcW w:type="dxa" w:w="28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业务数据</w:t>
            </w:r>
          </w:p>
        </w:tc>
        <w:tc>
          <w:tcPr>
            <w:tcW w:type="dxa" w:w="11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6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tp-redis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redis:7-alpine</w:t>
            </w:r>
          </w:p>
        </w:tc>
        <w:tc>
          <w:tcPr>
            <w:tcW w:type="dxa" w:w="13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6379（仅内网）</w:t>
            </w:r>
          </w:p>
        </w:tc>
        <w:tc>
          <w:tcPr>
            <w:tcW w:type="dxa" w:w="28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nonce 防重放、缓存；不可用时降级为内存</w:t>
            </w:r>
          </w:p>
        </w:tc>
        <w:tc>
          <w:tcPr>
            <w:tcW w:type="dxa" w:w="11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128M + LRU</w:t>
            </w:r>
          </w:p>
        </w:tc>
      </w:tr>
      <w:tr>
        <w:tc>
          <w:tcPr>
            <w:tcW w:type="dxa" w:w="16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tp-mosquitto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eclipse-mosquitto:2</w:t>
            </w:r>
          </w:p>
        </w:tc>
        <w:tc>
          <w:tcPr>
            <w:tcW w:type="dxa" w:w="13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1883</w:t>
            </w:r>
          </w:p>
        </w:tc>
        <w:tc>
          <w:tcPr>
            <w:tcW w:type="dxa" w:w="28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 MQTT 接入（密码认证）</w:t>
            </w:r>
          </w:p>
        </w:tc>
        <w:tc>
          <w:tcPr>
            <w:tcW w:type="dxa" w:w="11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6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tp-prometheus（可选）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prom/prometheus</w:t>
            </w:r>
          </w:p>
        </w:tc>
        <w:tc>
          <w:tcPr>
            <w:tcW w:type="dxa" w:w="13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127.0.0.1:9090</w:t>
            </w:r>
          </w:p>
        </w:tc>
        <w:tc>
          <w:tcPr>
            <w:tcW w:type="dxa" w:w="28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指标抓取，保留 15 天</w:t>
            </w:r>
          </w:p>
        </w:tc>
        <w:tc>
          <w:tcPr>
            <w:tcW w:type="dxa" w:w="11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512M</w:t>
            </w:r>
          </w:p>
        </w:tc>
      </w:tr>
      <w:tr>
        <w:tc>
          <w:tcPr>
            <w:tcW w:type="dxa" w:w="16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tp-grafana（可选）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grafana/grafana</w:t>
            </w:r>
          </w:p>
        </w:tc>
        <w:tc>
          <w:tcPr>
            <w:tcW w:type="dxa" w:w="13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127.0.0.1:3000</w:t>
            </w:r>
          </w:p>
        </w:tc>
        <w:tc>
          <w:tcPr>
            <w:tcW w:type="dxa" w:w="28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看板（预置 7 个面板）</w:t>
            </w:r>
          </w:p>
        </w:tc>
        <w:tc>
          <w:tcPr>
            <w:tcW w:type="dxa" w:w="11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512M</w:t>
            </w:r>
          </w:p>
        </w:tc>
      </w:tr>
    </w:tbl>
    <w:p/>
    <w:p>
      <w:pPr>
        <w:spacing w:after="160" w:line="360" w:lineRule="auto"/>
        <w:ind w:firstLine="420"/>
      </w:pPr>
      <w:r>
        <w:rPr>
          <w:rFonts w:ascii="Times New Roman" w:hAnsi="Times New Roman" w:eastAsia="宋体"/>
          <w:color w:val="666666"/>
          <w:sz w:val="21"/>
        </w:rPr>
        <w:t>只有 80 与 1883 对外；8080/3000/9090 只绑回环或内网，看监控需 SSH 隧道。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2.3　运行时拓扑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flowchart LR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Browser[浏览器 / Vue3 SPA] --&gt;|HTTP 80| Nginx[Nginx 静态站 + 反代]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ESP32[ESP32 打卡机] --&gt;|MQTT 1883 密码认证| Mosq[Mosquitto]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ESP32 -.-&gt;|HTTP 兜底 /iot/v1/punch| Nginx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Nginx --&gt;|/api/*| Boot[Spring Boot 8080]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Nginx --&gt;|/iot/*| Boot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Mosq --&gt;|共享订阅| Boot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Boot --&gt; MySQL[(MySQL 8.0)]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Boot --&gt; Redis[(Redis 7)]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Prom[Prometheus] -.-&gt;|抓取 /actuator/prometheus| Boot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Graf[Grafana] --&gt; Prom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Boot -.-&gt;|traceId 日志| Logs[(backend-logs 卷)]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3　模块划分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后端按业务域分包，模块之间只通过 Service 交互；模块规模用「文件数 / 行数」衡量，数据来自对 backend/src/main/java 的实时统计。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1"/>
        <w:gridCol w:w="3282"/>
        <w:gridCol w:w="2757"/>
        <w:gridCol w:w="590"/>
        <w:gridCol w:w="656"/>
      </w:tblGrid>
      <w:tr>
        <w:trPr>
          <w:tblHeader/>
        </w:trPr>
        <w:tc>
          <w:tcPr>
            <w:tcW w:type="dxa" w:w="1641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type="dxa" w:w="328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  <w:tc>
          <w:tcPr>
            <w:tcW w:type="dxa" w:w="2757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核心类</w:t>
            </w:r>
          </w:p>
        </w:tc>
        <w:tc>
          <w:tcPr>
            <w:tcW w:type="dxa" w:w="591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文件</w:t>
            </w:r>
          </w:p>
        </w:tc>
        <w:tc>
          <w:tcPr>
            <w:tcW w:type="dxa" w:w="65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行数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attendance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考勤域：打卡上报、判定、日汇总、规则、设备、补卡审批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AttendanceService / AttendanceIngestService / AttendanceSettleJob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34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2981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rbac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角色与权限：角色-权限映射、数据范围计算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RbacService / DataScopeService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13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457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kanban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团队看板：看板、列、卡片、拖拽排序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KanbanService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10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1111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comment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评论与敏感词：多态评论、词库过滤、审计留痕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CommentService / SensitiveWordService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1105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团队：成员、负责人、团队维度查询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797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audit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审计：AOP 切面 + 查询接口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AuditLogAspect / AuditLogService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475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schedule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日程：增删改查、日历视图、参与人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ScheduleService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766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worklog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工作日志：日报/周报、统计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WorklogService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682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dashboard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概览统计：管理员与员工两套看板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DashboardService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用户：账号、部门归属、状态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499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auth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认证：登录、JWT 签发、当前用户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AuthService / JwtService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220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exception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统一异常与错误码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GlobalExceptionHandler / ErrorCode / BizException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236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api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统一响应体与分页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ApiResponse / PageResult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95</w:t>
            </w:r>
          </w:p>
        </w:tc>
      </w:tr>
      <w:tr>
        <w:tc>
          <w:tcPr>
            <w:tcW w:type="dxa" w:w="164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config / common（根包）</w:t>
            </w:r>
          </w:p>
        </w:tc>
        <w:tc>
          <w:tcPr>
            <w:tcW w:type="dxa" w:w="328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全局配置：安全、JWT 过滤器、可观测性、线程池、启动初始化</w:t>
            </w:r>
          </w:p>
        </w:tc>
        <w:tc>
          <w:tcPr>
            <w:tcW w:type="dxa" w:w="275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SecurityConfig / RequestObservabilityFilter / BootstrapDataInitializer</w:t>
            </w:r>
          </w:p>
        </w:tc>
        <w:tc>
          <w:tcPr>
            <w:tcW w:type="dxa" w:w="5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18</w:t>
            </w:r>
          </w:p>
        </w:tc>
        <w:tc>
          <w:tcPr>
            <w:tcW w:type="dxa" w:w="6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1251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3.1　控制器与端点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40"/>
        <w:gridCol w:w="2924"/>
        <w:gridCol w:w="923"/>
        <w:gridCol w:w="1539"/>
      </w:tblGrid>
      <w:tr>
        <w:trPr>
          <w:tblHeader/>
        </w:trPr>
        <w:tc>
          <w:tcPr>
            <w:tcW w:type="dxa" w:w="354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控制器</w:t>
            </w:r>
          </w:p>
        </w:tc>
        <w:tc>
          <w:tcPr>
            <w:tcW w:type="dxa" w:w="2925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基础路径</w:t>
            </w:r>
          </w:p>
        </w:tc>
        <w:tc>
          <w:tcPr>
            <w:tcW w:type="dxa" w:w="92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端点</w:t>
            </w:r>
          </w:p>
        </w:tc>
        <w:tc>
          <w:tcPr>
            <w:tcW w:type="dxa" w:w="1539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@PreAuthorize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KanbanController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/api/v1/kanban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11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/api/v1/team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11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AttendanceController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/api/v1/attendance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10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/api/v1/user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10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ScheduleController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/api/v1/schedule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DeviceController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/api/v1/devices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CommentController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/api/v1/comment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WorklogController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/api/v1/worklog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MakeupRequestController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/api/v1/makeup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SensitiveWordController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/api/v1/sensitive-word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AuditController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/api/v1/audit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AuthController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/api/v1/auth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DashboardController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/api/v1/dashboard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IotIngestController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/iot/v1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DepartmentController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/api/v1/department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</w:tr>
      <w:tr>
        <w:tc>
          <w:tcPr>
            <w:tcW w:type="dxa" w:w="35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RoleController</w:t>
            </w:r>
          </w:p>
        </w:tc>
        <w:tc>
          <w:tcPr>
            <w:tcW w:type="dxa" w:w="292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/api/v1/role</w:t>
            </w:r>
          </w:p>
        </w:tc>
        <w:tc>
          <w:tcPr>
            <w:tcW w:type="dxa" w:w="9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53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</w:tr>
    </w:tbl>
    <w:p/>
    <w:p>
      <w:pPr>
        <w:spacing w:after="160" w:line="360" w:lineRule="auto"/>
        <w:ind w:firstLine="420"/>
      </w:pPr>
      <w:r>
        <w:rPr>
          <w:rFonts w:ascii="Times New Roman" w:hAnsi="Times New Roman" w:eastAsia="宋体"/>
          <w:color w:val="666666"/>
          <w:sz w:val="21"/>
        </w:rPr>
        <w:t>设备接入控制器（IotIngestController）刻意不加 @PreAuthorize：它用 HMAC 验签认证，不是用户令牌体系。WorklogController 的 6 个端点全部按「本人/团队」在服务层收窄，所以没有方法级注解。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3.2　前端结构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3024"/>
        <w:gridCol w:w="4320"/>
      </w:tblGrid>
      <w:tr>
        <w:trPr>
          <w:tblHeader/>
        </w:trPr>
        <w:tc>
          <w:tcPr>
            <w:tcW w:type="dxa" w:w="158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目录</w:t>
            </w:r>
          </w:p>
        </w:tc>
        <w:tc>
          <w:tcPr>
            <w:tcW w:type="dxa" w:w="302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  <w:tc>
          <w:tcPr>
            <w:tcW w:type="dxa" w:w="43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views/</w:t>
            </w:r>
          </w:p>
        </w:tc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37 个页面 / 17014 行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按业务域再分目录：attendance/、schedule/、team/、system/ 等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components/</w:t>
            </w:r>
          </w:p>
        </w:tc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 个通用组件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布局、图表、空状态等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api/</w:t>
            </w:r>
          </w:p>
        </w:tc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Axios 实例 + 各域接口封装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统一注入 token、统一错误处理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stores/</w:t>
            </w:r>
          </w:p>
        </w:tc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Pinia：auth、ui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auth 持有用户、权限集合、hasPerm()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router/</w:t>
            </w:r>
          </w:p>
        </w:tc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31 条路由 + 守卫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按 permissions 做路由级拦截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utils/</w:t>
            </w:r>
          </w:p>
        </w:tc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netErrors、格式化、校验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网络错误分级提示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4　关键设计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4.1　认证与授权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采用「JWT 无状态认证 + 方法级权限注解 + 数据范围下推」三层：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JWT：登录成功后签发，载荷含 userId、username、role、permissions（22 个权限点）、dataScope；前端据此渲染菜单，后端每次请求再校验一次（不信任前端）。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方法级：@PreAuthorize("hasAuthority('module:action')") 共 32 处，覆盖所有写操作与敏感查询。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数据范围：DataScopeService 依据角色的 data_scope 计算可见 userId 集合，再以 IN 条件下推到 SQL，避免「查出来再过滤」的性能与越权风险。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2160"/>
        <w:gridCol w:w="4176"/>
      </w:tblGrid>
      <w:tr>
        <w:trPr>
          <w:tblHeader/>
        </w:trPr>
        <w:tc>
          <w:tcPr>
            <w:tcW w:type="dxa" w:w="129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角色</w:t>
            </w:r>
          </w:p>
        </w:tc>
        <w:tc>
          <w:tcPr>
            <w:tcW w:type="dxa" w:w="129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data_scope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可见范围</w:t>
            </w:r>
          </w:p>
        </w:tc>
        <w:tc>
          <w:tcPr>
            <w:tcW w:type="dxa" w:w="417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典型端点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sysadmin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ALL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全公司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所有管理端接口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hr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ALL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全公司（人事职能）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考勤规则、补卡审批、公司概览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auditor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ALL（只读）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全公司只读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审计日志、报表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manager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DEPT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本部门及下属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部门日程、成员打卡、补卡审批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leader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DEPT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所在部门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团队日程、看板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employee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SELF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仅本人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我的日程、我的打卡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4.2　物联网打卡链路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设备侧（ESP32）：RFID 读卡 → 组 JSON → HMAC-SHA256 签名 → MQTT 发布到 attendance/checkin；断网时可走 HTTP 兜底（同一套验签逻辑）。服务端两条入口共用同一个 IngestService。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4752"/>
        <w:gridCol w:w="2592"/>
      </w:tblGrid>
      <w:tr>
        <w:trPr>
          <w:tblHeader/>
        </w:trPr>
        <w:tc>
          <w:tcPr>
            <w:tcW w:type="dxa" w:w="158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环节</w:t>
            </w:r>
          </w:p>
        </w:tc>
        <w:tc>
          <w:tcPr>
            <w:tcW w:type="dxa" w:w="475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实现</w:t>
            </w:r>
          </w:p>
        </w:tc>
        <w:tc>
          <w:tcPr>
            <w:tcW w:type="dxa" w:w="259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失败时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设备鉴权</w:t>
            </w:r>
          </w:p>
        </w:tc>
        <w:tc>
          <w:tcPr>
            <w:tcW w:type="dxa" w:w="47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deviceSn 查库取 secret；签名串 deviceSn|employeeNo|punchTime|nonce</w:t>
            </w:r>
          </w:p>
        </w:tc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60003 签名错误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时钟校验</w:t>
            </w:r>
          </w:p>
        </w:tc>
        <w:tc>
          <w:tcPr>
            <w:tcW w:type="dxa" w:w="47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设备时间与服务端相差 &gt; 300s 判定异常</w:t>
            </w:r>
          </w:p>
        </w:tc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60006 时钟漂移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防重放</w:t>
            </w:r>
          </w:p>
        </w:tc>
        <w:tc>
          <w:tcPr>
            <w:tcW w:type="dxa" w:w="47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nonce 写入 Redis（SET NX EX 600）；Redis 不可用降级为本地 Map</w:t>
            </w:r>
          </w:p>
        </w:tc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60005 重复 nonce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幂等</w:t>
            </w:r>
          </w:p>
        </w:tc>
        <w:tc>
          <w:tcPr>
            <w:tcW w:type="dxa" w:w="47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message_id 唯一索引；重复报文返回 200 且不新增记录</w:t>
            </w:r>
          </w:p>
        </w:tc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静默去重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判定</w:t>
            </w:r>
          </w:p>
        </w:tc>
        <w:tc>
          <w:tcPr>
            <w:tcW w:type="dxa" w:w="47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按考勤规则算 NORMAL/LATE/EARLY_LEAVE/ABSENT</w:t>
            </w:r>
          </w:p>
        </w:tc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落 status 字段</w:t>
            </w:r>
          </w:p>
        </w:tc>
      </w:tr>
      <w:tr>
        <w:tc>
          <w:tcPr>
            <w:tcW w:type="dxa" w:w="15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汇总</w:t>
            </w:r>
          </w:p>
        </w:tc>
        <w:tc>
          <w:tcPr>
            <w:tcW w:type="dxa" w:w="475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写 record 后异步刷新当日 attendance_daily</w:t>
            </w:r>
          </w:p>
        </w:tc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定时任务兜底重算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4.3　审计设计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自定义注解 @Audited(module, action, detail) 标注在 20 个写操作上，AuditLogAspect 环绕执行：无论成功失败都落库，记录操作人、目标、耗时、结果、traceId。审计表只增不改，应用层不提供删除接口。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4.4　可观测性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4608"/>
        <w:gridCol w:w="2880"/>
      </w:tblGrid>
      <w:tr>
        <w:trPr>
          <w:tblHeader/>
        </w:trPr>
        <w:tc>
          <w:tcPr>
            <w:tcW w:type="dxa" w:w="144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实现</w:t>
            </w:r>
          </w:p>
        </w:tc>
        <w:tc>
          <w:tcPr>
            <w:tcW w:type="dxa" w:w="288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链路追踪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RequestObservabilityFilter 生成 traceId 写入 MDC 与响应头 X-Trace-Id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前端报错提示可带 traceId，日志可精确检索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指标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Micrometer → /actuator/prometheus（RED + 业务指标）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Grafana 看板与告警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日志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logback-spring.xml 输出 %X{traceId}，按天滚动写入卷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事后复盘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健康检查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/actuator/health + 容器 healthcheck + Nginx /healthz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编排与负载均衡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5　关键时序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5.1　设备打卡上报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sequenceDiagram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D as ESP32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M as Mosquitto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B as Backend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R as Redis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DB as MySQL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D-&gt;&gt;M: publish attendance/checkin {sn,empNo,time,nonce,sign}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M-&gt;&gt;B: 投递给订阅者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B-&gt;&gt;DB: 按 deviceSn 查 secret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B-&gt;&gt;B: 校验 HMAC 与时钟漂移(±300s)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B-&gt;&gt;R: SET NX nonce EX 600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alt nonce 已存在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B--&gt;&gt;M: 丢弃（60005）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else 首次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B-&gt;&gt;DB: INSERT record（message_id 唯一）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alt 唯一键冲突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    B--&gt;&gt;M: 幂等返回 200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else 成功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    B-&gt;&gt;DB: 刷新 attendance_daily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    B-&gt;&gt;B: 指标 punch_total{result=success}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end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end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5.2　补卡审批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sequenceDiagram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E as 员工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B as Backend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DB as MySQL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E-&gt;&gt;B: POST /api/v1/makeup（补卡申请）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B-&gt;&gt;DB: makeup_request(status=pending)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Note over B: @Audited 记录提交动作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M as 经理/HR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M-&gt;&gt;B: POST /api/v1/makeup/{id}/approve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B-&gt;&gt;B: 校验状态仍为 pending（否则 409）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B-&gt;&gt;DB: UPDATE status=approved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B-&gt;&gt;DB: INSERT attendance_record(source=MANUAL)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B-&gt;&gt;DB: 刷新 attendance_daily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Note over B: 失败或越权也写 audit_log(result=FAILURE)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5.3　数据范围生效过程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sequenceDiagram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C as Controller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S as Service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DS as DataScopeService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participant M as Mapper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C-&gt;&gt;S: 查询请求（带 JWT）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S-&gt;&gt;DS: current()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DS-&gt;&gt;DS: 读角色 data_scope + 部门树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alt ALL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DS--&gt;&gt;S: unrestricted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else DEPT / SELF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DS--&gt;&gt;S: userIds 集合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end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S-&gt;&gt;M: 查询 + IN(userId in userIds)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M--&gt;&gt;S: 已按范围收窄的数据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6　非功能设计对照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4176"/>
        <w:gridCol w:w="2160"/>
      </w:tblGrid>
      <w:tr>
        <w:trPr>
          <w:tblHeader/>
        </w:trPr>
        <w:tc>
          <w:tcPr>
            <w:tcW w:type="dxa" w:w="259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需求（SRS 第 8 章）</w:t>
            </w:r>
          </w:p>
        </w:tc>
        <w:tc>
          <w:tcPr>
            <w:tcW w:type="dxa" w:w="417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设计手段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验证方式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性能：单机支撑 200 人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逻辑删除 + 组合索引 + 日汇总表；压测 20 并发 P95 40ms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docs/性能测试报告.md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安全：设备不可伪造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HMAC-SHA256 + nonce 防重放 + 时钟漂移校验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集成测试 + 46 项接口断言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安全：越权不可达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32 处方法级注解 + 数据范围下推 + 审计留痕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 角色 × 关键端点矩阵断言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可靠：不丢打卡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MQTT 持久化会话 + 唯一索引幂等 + HTTP 兜底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重复报文幂等用例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可维护：改权限不改代码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角色-权限表驱动，权限点常量集中在 RbacService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改库即可生效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可观测：问题可定位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traceId + RED 指标 + 审计日志三件套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Grafana 看板 + 日志检索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可部署：一台机器跑起来</w:t>
            </w:r>
          </w:p>
        </w:tc>
        <w:tc>
          <w:tcPr>
            <w:tcW w:type="dxa" w:w="41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compose 五服务 + 幂等部署脚本 + 健康检查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腾讯云实测 295s 构建 / 40s 启动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7　技术选型与理由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1223"/>
        <w:gridCol w:w="3456"/>
        <w:gridCol w:w="2304"/>
      </w:tblGrid>
      <w:tr>
        <w:trPr>
          <w:tblHeader/>
        </w:trPr>
        <w:tc>
          <w:tcPr>
            <w:tcW w:type="dxa" w:w="194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选型</w:t>
            </w:r>
          </w:p>
        </w:tc>
        <w:tc>
          <w:tcPr>
            <w:tcW w:type="dxa" w:w="122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版本</w:t>
            </w:r>
          </w:p>
        </w:tc>
        <w:tc>
          <w:tcPr>
            <w:tcW w:type="dxa" w:w="345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为什么选</w:t>
            </w:r>
          </w:p>
        </w:tc>
        <w:tc>
          <w:tcPr>
            <w:tcW w:type="dxa" w:w="230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被否的替代</w:t>
            </w:r>
          </w:p>
        </w:tc>
      </w:tr>
      <w:tr>
        <w:tc>
          <w:tcPr>
            <w:tcW w:type="dxa" w:w="19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Spring Boot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3.2.4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生态成熟、单体开发效率最高、Java 17 长期支持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微服务（本规模运维成本过高）</w:t>
            </w:r>
          </w:p>
        </w:tc>
      </w:tr>
      <w:tr>
        <w:tc>
          <w:tcPr>
            <w:tcW w:type="dxa" w:w="19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MyBatis-Plus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3.5.7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Lambda 查询构造 + 分页插件，复杂查询可控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JPA（复杂查询与 SQL 调优不直观）</w:t>
            </w:r>
          </w:p>
        </w:tc>
      </w:tr>
      <w:tr>
        <w:tc>
          <w:tcPr>
            <w:tcW w:type="dxa" w:w="19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Spring Security + jjwt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 / 0.12.5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标准过滤器链，方法级注解与数据范围结合自然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Sa-Token（生态与文档不如前者）</w:t>
            </w:r>
          </w:p>
        </w:tc>
      </w:tr>
      <w:tr>
        <w:tc>
          <w:tcPr>
            <w:tcW w:type="dxa" w:w="19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MySQL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8.0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事务与唯一索引满足幂等需求，单机够用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PostgreSQL（团队更熟 MySQL）</w:t>
            </w:r>
          </w:p>
        </w:tc>
      </w:tr>
      <w:tr>
        <w:tc>
          <w:tcPr>
            <w:tcW w:type="dxa" w:w="19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Redis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nonce 防重放需要 TTL 语义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本地缓存（多实例不共享）</w:t>
            </w:r>
          </w:p>
        </w:tc>
      </w:tr>
      <w:tr>
        <w:tc>
          <w:tcPr>
            <w:tcW w:type="dxa" w:w="19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Mosquitto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轻量、单二进制、ESP32 生态示例多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EMQX（功能过重）</w:t>
            </w:r>
          </w:p>
        </w:tc>
      </w:tr>
      <w:tr>
        <w:tc>
          <w:tcPr>
            <w:tcW w:type="dxa" w:w="19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Vue 3 + Element Plus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3.x / 2.14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表格表单密集的管理端开发效率高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React（既有代码基础）</w:t>
            </w:r>
          </w:p>
        </w:tc>
      </w:tr>
      <w:tr>
        <w:tc>
          <w:tcPr>
            <w:tcW w:type="dxa" w:w="19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Nginx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1.27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静态托管 + 反代 + 同源规避跨域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Node 直接对外（无静态压缩/缓存优势）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8　扩展点与演进路线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3311"/>
        <w:gridCol w:w="3744"/>
      </w:tblGrid>
      <w:tr>
        <w:trPr>
          <w:tblHeader/>
        </w:trPr>
        <w:tc>
          <w:tcPr>
            <w:tcW w:type="dxa" w:w="187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扩展点</w:t>
            </w:r>
          </w:p>
        </w:tc>
        <w:tc>
          <w:tcPr>
            <w:tcW w:type="dxa" w:w="331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当前实现</w:t>
            </w:r>
          </w:p>
        </w:tc>
        <w:tc>
          <w:tcPr>
            <w:tcW w:type="dxa" w:w="374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下一步可做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权限配置界面</w:t>
            </w:r>
          </w:p>
        </w:tc>
        <w:tc>
          <w:tcPr>
            <w:tcW w:type="dxa" w:w="33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改 role_permission 需写 SQL</w:t>
            </w:r>
          </w:p>
        </w:tc>
        <w:tc>
          <w:tcPr>
            <w:tcW w:type="dxa" w:w="37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页面化编辑 + 变更审计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一人多岗</w:t>
            </w:r>
          </w:p>
        </w:tc>
        <w:tc>
          <w:tcPr>
            <w:tcW w:type="dxa" w:w="33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user.role 单值</w:t>
            </w:r>
          </w:p>
        </w:tc>
        <w:tc>
          <w:tcPr>
            <w:tcW w:type="dxa" w:w="37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user_role 关联表 + 取并集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部门树范围</w:t>
            </w:r>
          </w:p>
        </w:tc>
        <w:tc>
          <w:tcPr>
            <w:tcW w:type="dxa" w:w="33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DEPT 只含本部门</w:t>
            </w:r>
          </w:p>
        </w:tc>
        <w:tc>
          <w:tcPr>
            <w:tcW w:type="dxa" w:w="37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递归 CTE 含子部门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定时任务</w:t>
            </w:r>
          </w:p>
        </w:tc>
        <w:tc>
          <w:tcPr>
            <w:tcW w:type="dxa" w:w="33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单实例 @Scheduled</w:t>
            </w:r>
          </w:p>
        </w:tc>
        <w:tc>
          <w:tcPr>
            <w:tcW w:type="dxa" w:w="37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多实例时加 ShedLock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设备安全</w:t>
            </w:r>
          </w:p>
        </w:tc>
        <w:tc>
          <w:tcPr>
            <w:tcW w:type="dxa" w:w="33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MQTT 明文 + 密码</w:t>
            </w:r>
          </w:p>
        </w:tc>
        <w:tc>
          <w:tcPr>
            <w:tcW w:type="dxa" w:w="37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8883 + TLS + 客户端证书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监控告警</w:t>
            </w:r>
          </w:p>
        </w:tc>
        <w:tc>
          <w:tcPr>
            <w:tcW w:type="dxa" w:w="331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Grafana 看板</w:t>
            </w:r>
          </w:p>
        </w:tc>
        <w:tc>
          <w:tcPr>
            <w:tcW w:type="dxa" w:w="37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Alertmanager 规则 + 企业微信/邮件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9　已知限制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单体单实例：水平扩展需要先解决定时任务重复执行与文件/日志共享。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无物理外键：一致性依赖应用层，直接改库有产生孤儿数据的风险。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MQTT 未加 TLS：公网 1883 暴露时依赖密码强度（建议收敛来源 IP 或升级 8883）。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无分布式锁：多实例部署时定时结算会重复执行（幂等，但浪费资源）。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 w:before="0"/>
      <w:ind w:firstLine="4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