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b/>
          <w:color w:val="1F3864"/>
          <w:sz w:val="44"/>
        </w:rPr>
        <w:t>TeamPulse 详细设计说明书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color w:val="595959"/>
          <w:sz w:val="28"/>
        </w:rPr>
        <w:t>团队协作与物联网考勤平台 · 实现细节与取舍依据</w:t>
      </w:r>
    </w:p>
    <w:p/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color w:val="404040"/>
          <w:sz w:val="28"/>
        </w:rPr>
        <w:t>覆盖：认证、打卡、审批、数据范围、审计、可观测、定时结算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color w:val="404040"/>
          <w:sz w:val="28"/>
        </w:rPr>
        <w:t>包含 10 条 ADR（Architecture Decision Record）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color w:val="404040"/>
          <w:sz w:val="28"/>
        </w:rPr>
        <w:t>所有类名与行数取自源码，伪代码对应真实实现顺序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color w:val="404040"/>
          <w:sz w:val="28"/>
        </w:rPr>
        <w:t>文档版本 v1.0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1　说明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本文面向「要改这个系统的人」：说明关键流程的逐步实现顺序、核心算法的判定规则、以及当初为什么这么选。与《概要设计》的区别是——概要设计回答「有哪些模块」，本文回答「具体怎么跑、改哪里」。</w:t>
      </w:r>
    </w:p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2　关键类职责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80"/>
        <w:gridCol w:w="2044"/>
        <w:gridCol w:w="613"/>
        <w:gridCol w:w="4089"/>
      </w:tblGrid>
      <w:tr>
        <w:trPr>
          <w:tblHeader/>
        </w:trPr>
        <w:tc>
          <w:tcPr>
            <w:tcW w:type="dxa" w:w="2181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类</w:t>
            </w:r>
          </w:p>
        </w:tc>
        <w:tc>
          <w:tcPr>
            <w:tcW w:type="dxa" w:w="2045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所在包</w:t>
            </w:r>
          </w:p>
        </w:tc>
        <w:tc>
          <w:tcPr>
            <w:tcW w:type="dxa" w:w="613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行数</w:t>
            </w:r>
          </w:p>
        </w:tc>
        <w:tc>
          <w:tcPr>
            <w:tcW w:type="dxa" w:w="4089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职责</w:t>
            </w:r>
          </w:p>
        </w:tc>
      </w:tr>
      <w:tr>
        <w:tc>
          <w:tcPr>
            <w:tcW w:type="dxa" w:w="218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AttendanceService</w:t>
            </w:r>
          </w:p>
        </w:tc>
        <w:tc>
          <w:tcPr>
            <w:tcW w:type="dxa" w:w="204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module/attendance/service</w:t>
            </w:r>
          </w:p>
        </w:tc>
        <w:tc>
          <w:tcPr>
            <w:tcW w:type="dxa" w:w="613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700</w:t>
            </w:r>
          </w:p>
        </w:tc>
        <w:tc>
          <w:tcPr>
            <w:tcW w:type="dxa" w:w="408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打卡主流程：验签编排、幂等、判定、落库、日汇总刷新；MQTT 与 HTTP 两个入口共用</w:t>
            </w:r>
          </w:p>
        </w:tc>
      </w:tr>
      <w:tr>
        <w:tc>
          <w:tcPr>
            <w:tcW w:type="dxa" w:w="218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DeviceSignatureVerifier</w:t>
            </w:r>
          </w:p>
        </w:tc>
        <w:tc>
          <w:tcPr>
            <w:tcW w:type="dxa" w:w="204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module/attendance/service</w:t>
            </w:r>
          </w:p>
        </w:tc>
        <w:tc>
          <w:tcPr>
            <w:tcW w:type="dxa" w:w="613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408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HMAC-SHA256 验签与时钟漂移校验；签名串构造集中在这里，避免两处入口写不一致</w:t>
            </w:r>
          </w:p>
        </w:tc>
      </w:tr>
      <w:tr>
        <w:tc>
          <w:tcPr>
            <w:tcW w:type="dxa" w:w="218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NonceDedupService</w:t>
            </w:r>
          </w:p>
        </w:tc>
        <w:tc>
          <w:tcPr>
            <w:tcW w:type="dxa" w:w="204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module/attendance/service</w:t>
            </w:r>
          </w:p>
        </w:tc>
        <w:tc>
          <w:tcPr>
            <w:tcW w:type="dxa" w:w="613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408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nonce 防重放：Redis SET NX EX 600，Redis 不可用时降级为本地 TTL 缓存</w:t>
            </w:r>
          </w:p>
        </w:tc>
      </w:tr>
      <w:tr>
        <w:tc>
          <w:tcPr>
            <w:tcW w:type="dxa" w:w="218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AttendanceCalculator</w:t>
            </w:r>
          </w:p>
        </w:tc>
        <w:tc>
          <w:tcPr>
            <w:tcW w:type="dxa" w:w="204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module/attendance/service</w:t>
            </w:r>
          </w:p>
        </w:tc>
        <w:tc>
          <w:tcPr>
            <w:tcW w:type="dxa" w:w="613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129</w:t>
            </w:r>
          </w:p>
        </w:tc>
        <w:tc>
          <w:tcPr>
            <w:tcW w:type="dxa" w:w="408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纯函数式判定：根据时间与规则算出 NORMAL / LATE / EARLY_LEAVE，可单测</w:t>
            </w:r>
          </w:p>
        </w:tc>
      </w:tr>
      <w:tr>
        <w:tc>
          <w:tcPr>
            <w:tcW w:type="dxa" w:w="218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AttendanceSummaryService</w:t>
            </w:r>
          </w:p>
        </w:tc>
        <w:tc>
          <w:tcPr>
            <w:tcW w:type="dxa" w:w="204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module/attendance/service</w:t>
            </w:r>
          </w:p>
        </w:tc>
        <w:tc>
          <w:tcPr>
            <w:tcW w:type="dxa" w:w="613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130</w:t>
            </w:r>
          </w:p>
        </w:tc>
        <w:tc>
          <w:tcPr>
            <w:tcW w:type="dxa" w:w="408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日汇总（attendance_daily）的重算与增量更新</w:t>
            </w:r>
          </w:p>
        </w:tc>
      </w:tr>
      <w:tr>
        <w:tc>
          <w:tcPr>
            <w:tcW w:type="dxa" w:w="218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MakeupRequestService</w:t>
            </w:r>
          </w:p>
        </w:tc>
        <w:tc>
          <w:tcPr>
            <w:tcW w:type="dxa" w:w="204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module/attendance/service</w:t>
            </w:r>
          </w:p>
        </w:tc>
        <w:tc>
          <w:tcPr>
            <w:tcW w:type="dxa" w:w="613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235</w:t>
            </w:r>
          </w:p>
        </w:tc>
        <w:tc>
          <w:tcPr>
            <w:tcW w:type="dxa" w:w="408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补卡审批状态机：pending → approved/rejected，通过时回写打卡记录</w:t>
            </w:r>
          </w:p>
        </w:tc>
      </w:tr>
      <w:tr>
        <w:tc>
          <w:tcPr>
            <w:tcW w:type="dxa" w:w="218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DataScopeService</w:t>
            </w:r>
          </w:p>
        </w:tc>
        <w:tc>
          <w:tcPr>
            <w:tcW w:type="dxa" w:w="204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module/rbac/service</w:t>
            </w:r>
          </w:p>
        </w:tc>
        <w:tc>
          <w:tcPr>
            <w:tcW w:type="dxa" w:w="613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408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把角色的 data_scope 换算成 userId 集合；ALL 直接放行，DEPT/SELF 下推 IN 条件</w:t>
            </w:r>
          </w:p>
        </w:tc>
      </w:tr>
      <w:tr>
        <w:tc>
          <w:tcPr>
            <w:tcW w:type="dxa" w:w="218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RbacService</w:t>
            </w:r>
          </w:p>
        </w:tc>
        <w:tc>
          <w:tcPr>
            <w:tcW w:type="dxa" w:w="204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module/rbac/service</w:t>
            </w:r>
          </w:p>
        </w:tc>
        <w:tc>
          <w:tcPr>
            <w:tcW w:type="dxa" w:w="613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408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角色-权限映射，带进程内缓存；登录时组装 22 个权限点</w:t>
            </w:r>
          </w:p>
        </w:tc>
      </w:tr>
      <w:tr>
        <w:tc>
          <w:tcPr>
            <w:tcW w:type="dxa" w:w="218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AuditLogAspect</w:t>
            </w:r>
          </w:p>
        </w:tc>
        <w:tc>
          <w:tcPr>
            <w:tcW w:type="dxa" w:w="204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module/audit/aspect</w:t>
            </w:r>
          </w:p>
        </w:tc>
        <w:tc>
          <w:tcPr>
            <w:tcW w:type="dxa" w:w="613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128</w:t>
            </w:r>
          </w:p>
        </w:tc>
        <w:tc>
          <w:tcPr>
            <w:tcW w:type="dxa" w:w="408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环绕 @Audited 方法，成功失败都落库，写入 traceId 与耗时</w:t>
            </w:r>
          </w:p>
        </w:tc>
      </w:tr>
      <w:tr>
        <w:tc>
          <w:tcPr>
            <w:tcW w:type="dxa" w:w="218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RequestObservabilityFilter</w:t>
            </w:r>
          </w:p>
        </w:tc>
        <w:tc>
          <w:tcPr>
            <w:tcW w:type="dxa" w:w="204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config</w:t>
            </w:r>
          </w:p>
        </w:tc>
        <w:tc>
          <w:tcPr>
            <w:tcW w:type="dxa" w:w="613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86</w:t>
            </w:r>
          </w:p>
        </w:tc>
        <w:tc>
          <w:tcPr>
            <w:tcW w:type="dxa" w:w="408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每个请求生成 traceId（MDC + X-Trace-Id），记录 RED 指标</w:t>
            </w:r>
          </w:p>
        </w:tc>
      </w:tr>
      <w:tr>
        <w:tc>
          <w:tcPr>
            <w:tcW w:type="dxa" w:w="218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JwtAuthenticationFilter</w:t>
            </w:r>
          </w:p>
        </w:tc>
        <w:tc>
          <w:tcPr>
            <w:tcW w:type="dxa" w:w="204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security</w:t>
            </w:r>
          </w:p>
        </w:tc>
        <w:tc>
          <w:tcPr>
            <w:tcW w:type="dxa" w:w="613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408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解析 Bearer token → SecurityContext；401 时走统一 JSON 响应</w:t>
            </w:r>
          </w:p>
        </w:tc>
      </w:tr>
      <w:tr>
        <w:tc>
          <w:tcPr>
            <w:tcW w:type="dxa" w:w="218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GlobalExceptionHandler</w:t>
            </w:r>
          </w:p>
        </w:tc>
        <w:tc>
          <w:tcPr>
            <w:tcW w:type="dxa" w:w="204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common/exception</w:t>
            </w:r>
          </w:p>
        </w:tc>
        <w:tc>
          <w:tcPr>
            <w:tcW w:type="dxa" w:w="613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152</w:t>
            </w:r>
          </w:p>
        </w:tc>
        <w:tc>
          <w:tcPr>
            <w:tcW w:type="dxa" w:w="408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业务异常/参数校验/未捕获异常统一转 ApiResponse，并累加错误指标</w:t>
            </w:r>
          </w:p>
        </w:tc>
      </w:tr>
    </w:tbl>
    <w:p/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3　打卡上报详细设计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3.1　入口与共用逻辑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两个入口最终都调用 AttendanceService.handlePunch(message, source)：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96"/>
        <w:gridCol w:w="5760"/>
        <w:gridCol w:w="1872"/>
      </w:tblGrid>
      <w:tr>
        <w:trPr>
          <w:tblHeader/>
        </w:trPr>
        <w:tc>
          <w:tcPr>
            <w:tcW w:type="dxa" w:w="1296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入口</w:t>
            </w:r>
          </w:p>
        </w:tc>
        <w:tc>
          <w:tcPr>
            <w:tcW w:type="dxa" w:w="57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触发方式</w:t>
            </w:r>
          </w:p>
        </w:tc>
        <w:tc>
          <w:tcPr>
            <w:tcW w:type="dxa" w:w="1872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source 取值</w:t>
            </w:r>
          </w:p>
        </w:tc>
      </w:tr>
      <w:tr>
        <w:tc>
          <w:tcPr>
            <w:tcW w:type="dxa" w:w="129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MQTT</w:t>
            </w:r>
          </w:p>
        </w:tc>
        <w:tc>
          <w:tcPr>
            <w:tcW w:type="dxa" w:w="57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订阅 attendance/checkin（客户端 ID teampulse-backend-1）</w:t>
            </w:r>
          </w:p>
        </w:tc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MQTT</w:t>
            </w:r>
          </w:p>
        </w:tc>
      </w:tr>
      <w:tr>
        <w:tc>
          <w:tcPr>
            <w:tcW w:type="dxa" w:w="129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HTTP</w:t>
            </w:r>
          </w:p>
        </w:tc>
        <w:tc>
          <w:tcPr>
            <w:tcW w:type="dxa" w:w="57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IotIngestController → POST /iot/v1/punch</w:t>
            </w:r>
          </w:p>
        </w:tc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HTTP</w:t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3.2　处理顺序（与代码一致）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Consolas"/>
                <w:sz w:val="17"/>
              </w:rPr>
            </w:r>
            <w:r>
              <w:rPr>
                <w:rFonts w:ascii="Consolas" w:hAnsi="Consolas" w:eastAsia="宋体"/>
                <w:sz w:val="18"/>
              </w:rPr>
              <w:t>handlePunch(msg, source):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1. 参数基本校验（sn/工号/时间/nonce/sign 非空）        → 60005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2. DeviceSignatureVerifier.verify(...)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   a. 按 deviceSn 查设备                              → 60001 未注册 / 60002 已禁用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   b. 校验 |设备时间 - 服务端时间| &lt;= 300s             → 60006 时钟漂移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   c. canonical = sn|empNo|punchTime|nonce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      sign == HEX(HMAC-SHA256(secret, canonical))     → 60003 签名错误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3. NonceDedupService.claim(nonce, ttl=600s)             → 首次返回 true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   Redis SET NX EX；Redis 不可用 → 本地 ConcurrentHashMap + 过期清理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4. 工号 → 用户（离职/不存在）                            → 61001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5. 读考勤规则（未配置）                                  → 61002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6. AttendanceCalculator 判定状态（NORMAL/LATE/EARLY_LEAVE）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7. 插入 attendance_record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   唯一索引 (message_id) / (employee_no, punch_time) 冲突 → 幂等返回 200，不新增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8. 刷新当日 attendance_daily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9. micormeter: punch_total{result=success|failure}、idempotent_total{layer=...}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10. 返回 AckMessage(id, status, workDate)</w:t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3.3　三层幂等的分工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5"/>
        <w:gridCol w:w="2846"/>
        <w:gridCol w:w="2975"/>
        <w:gridCol w:w="2070"/>
      </w:tblGrid>
      <w:tr>
        <w:trPr>
          <w:tblHeader/>
        </w:trPr>
        <w:tc>
          <w:tcPr>
            <w:tcW w:type="dxa" w:w="1035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层</w:t>
            </w:r>
          </w:p>
        </w:tc>
        <w:tc>
          <w:tcPr>
            <w:tcW w:type="dxa" w:w="2847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机制</w:t>
            </w:r>
          </w:p>
        </w:tc>
        <w:tc>
          <w:tcPr>
            <w:tcW w:type="dxa" w:w="2976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作用范围</w:t>
            </w:r>
          </w:p>
        </w:tc>
        <w:tc>
          <w:tcPr>
            <w:tcW w:type="dxa" w:w="207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命中后行为</w:t>
            </w:r>
          </w:p>
        </w:tc>
      </w:tr>
      <w:tr>
        <w:tc>
          <w:tcPr>
            <w:tcW w:type="dxa" w:w="103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报文层</w:t>
            </w:r>
          </w:p>
        </w:tc>
        <w:tc>
          <w:tcPr>
            <w:tcW w:type="dxa" w:w="2847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message_id 唯一索引</w:t>
            </w:r>
          </w:p>
        </w:tc>
        <w:tc>
          <w:tcPr>
            <w:tcW w:type="dxa" w:w="297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同一报文重复投递（MQTT QoS1 重发）</w:t>
            </w:r>
          </w:p>
        </w:tc>
        <w:tc>
          <w:tcPr>
            <w:tcW w:type="dxa" w:w="207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捕获冲突 → 返回成功</w:t>
            </w:r>
          </w:p>
        </w:tc>
      </w:tr>
      <w:tr>
        <w:tc>
          <w:tcPr>
            <w:tcW w:type="dxa" w:w="103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请求层</w:t>
            </w:r>
          </w:p>
        </w:tc>
        <w:tc>
          <w:tcPr>
            <w:tcW w:type="dxa" w:w="2847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nonce + Redis SET NX</w:t>
            </w:r>
          </w:p>
        </w:tc>
        <w:tc>
          <w:tcPr>
            <w:tcW w:type="dxa" w:w="297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同一 nonce 的短时重放（含攻击）</w:t>
            </w:r>
          </w:p>
        </w:tc>
        <w:tc>
          <w:tcPr>
            <w:tcW w:type="dxa" w:w="207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60005 / 60004 拒绝</w:t>
            </w:r>
          </w:p>
        </w:tc>
      </w:tr>
      <w:tr>
        <w:tc>
          <w:tcPr>
            <w:tcW w:type="dxa" w:w="103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业务层</w:t>
            </w:r>
          </w:p>
        </w:tc>
        <w:tc>
          <w:tcPr>
            <w:tcW w:type="dxa" w:w="2847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employee_no + punch_time 唯一索引</w:t>
            </w:r>
          </w:p>
        </w:tc>
        <w:tc>
          <w:tcPr>
            <w:tcW w:type="dxa" w:w="297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不同报文但同一人同一时刻</w:t>
            </w:r>
          </w:p>
        </w:tc>
        <w:tc>
          <w:tcPr>
            <w:tcW w:type="dxa" w:w="207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视为重复，返回成功</w:t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3.4　判定算法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Consolas"/>
                <w:sz w:val="17"/>
              </w:rPr>
            </w:r>
            <w:r>
              <w:rPr>
                <w:rFonts w:ascii="Consolas" w:hAnsi="Consolas" w:eastAsia="宋体"/>
                <w:sz w:val="18"/>
              </w:rPr>
              <w:t>判定（只依赖「打卡时间」与「规则」两个输入，因此可纯函数单测）：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上班：t &lt;= workStart                     → NORMAL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    workStart &lt; t &lt;= workStart + grace  → NORMAL（宽限期内不算迟到）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    t &gt; workStart + grace               → LATE，late_minutes = t - workStart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下班：t &gt;= workEnd                       → NORMAL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    workEnd - grace &lt;= t &lt; workEnd      → NORMAL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    t &lt; workEnd - grace                 → EARLY_LEAVE，early_leave_minutes = workEnd - t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缺勤：当日无任何打卡 → 由结算任务补 ABSENT</w:t>
            </w:r>
          </w:p>
        </w:tc>
      </w:tr>
    </w:tbl>
    <w:p/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4　补卡审批详细设计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Consolas"/>
                <w:sz w:val="17"/>
              </w:rPr>
            </w:r>
            <w:r>
              <w:rPr>
                <w:rFonts w:ascii="Consolas" w:hAnsi="Consolas" w:eastAsia="宋体"/>
                <w:sz w:val="18"/>
              </w:rPr>
              <w:t>提交：POST /api/v1/makeup（权限 makeup:submit）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→ 校验日期不在未来、该日确实缺少对应打卡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→ 落 makeup_request(status=pending)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>审批：POST /api/v1/makeup/{id}/review（权限 attendance:approve）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→ 读记录；若 status != pending → 409（这就是重复审批返回 40900 的来源）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→ approved=true：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   UPDATE status=approved, approver_id, reviewed_at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   INSERT attendance_record(source=MANUAL, sign_verified=0)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   重算该日 attendance_daily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→ approved=false：UPDATE status=rejected + 审批意见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>并发：状态判断用「条件更新」(WHERE status='pending')，受影响行数为 0 即视为已被处理。</w:t>
            </w:r>
          </w:p>
        </w:tc>
      </w:tr>
    </w:tbl>
    <w:p/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5　数据范围实现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Consolas"/>
                <w:sz w:val="17"/>
              </w:rPr>
            </w:r>
            <w:r>
              <w:rPr>
                <w:rFonts w:ascii="Consolas" w:hAnsi="Consolas" w:eastAsia="宋体"/>
                <w:sz w:val="18"/>
              </w:rPr>
              <w:t>DataScopeService.current():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user = SecurityUtils.currentUserId()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role = 当前用户的角色 key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scope = 角色的 data_scope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if scope == ALL:   return DataScope.unrestricted()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if scope == SELF:  return DataScope.ofUsers(List.of(user))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if scope == DEPT: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  ids = userMapper.selectByDepartment(user.departmentId)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  return DataScope.ofUsers(ids)          # 空集合时调用方加 "1 = 0"，避免 IN ()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>调用方（Service）统一写法：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DataScope scope = dataScopeService.current();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if (!scope.isUnrestricted()) {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  if (scope.userIds().isEmpty()) wrapper.apply("1 = 0");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  else wrapper.in(Entity::getUserId, scope.userIds());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}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>→ 范围条件在 SQL 层生效，不存在「查全量再过滤」</w:t>
            </w:r>
          </w:p>
        </w:tc>
      </w:tr>
    </w:tbl>
    <w:p/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这样做的收益：分页 total 也是准确的（先过滤再分页），且数据库只返回该看见的行。</w:t>
      </w:r>
    </w:p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6　审计与可观测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Consolas"/>
                <w:sz w:val="17"/>
              </w:rPr>
            </w:r>
            <w:r>
              <w:rPr>
                <w:rFonts w:ascii="Consolas" w:hAnsi="Consolas" w:eastAsia="宋体"/>
                <w:sz w:val="18"/>
              </w:rPr>
              <w:t>@Audited(module="attendance", action="APPROVE_MAKEUP", detail="补卡审批")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↓ 环绕通知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>try: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result = pjp.proceed()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记 result=SUCCESS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>except e: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记 result=FAILURE + 错误信息，异常继续抛出（不影响主流程语义）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>finally: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写 audit_log(operator, module, action, target, detail, result, duration_ms, trace_id)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76"/>
        <w:gridCol w:w="946"/>
        <w:gridCol w:w="2299"/>
        <w:gridCol w:w="2705"/>
      </w:tblGrid>
      <w:tr>
        <w:trPr>
          <w:tblHeader/>
        </w:trPr>
        <w:tc>
          <w:tcPr>
            <w:tcW w:type="dxa" w:w="2976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指标</w:t>
            </w:r>
          </w:p>
        </w:tc>
        <w:tc>
          <w:tcPr>
            <w:tcW w:type="dxa" w:w="947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230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标签</w:t>
            </w:r>
          </w:p>
        </w:tc>
        <w:tc>
          <w:tcPr>
            <w:tcW w:type="dxa" w:w="2705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用途</w:t>
            </w:r>
          </w:p>
        </w:tc>
      </w:tr>
      <w:tr>
        <w:tc>
          <w:tcPr>
            <w:tcW w:type="dxa" w:w="297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teampulse_api_requests_total</w:t>
            </w:r>
          </w:p>
        </w:tc>
        <w:tc>
          <w:tcPr>
            <w:tcW w:type="dxa" w:w="947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counter</w:t>
            </w:r>
          </w:p>
        </w:tc>
        <w:tc>
          <w:tcPr>
            <w:tcW w:type="dxa" w:w="23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method, uri（路由模板）, status</w:t>
            </w:r>
          </w:p>
        </w:tc>
        <w:tc>
          <w:tcPr>
            <w:tcW w:type="dxa" w:w="270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RED 的 Rate</w:t>
            </w:r>
          </w:p>
        </w:tc>
      </w:tr>
      <w:tr>
        <w:tc>
          <w:tcPr>
            <w:tcW w:type="dxa" w:w="297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teampulse_api_latency_seconds</w:t>
            </w:r>
          </w:p>
        </w:tc>
        <w:tc>
          <w:tcPr>
            <w:tcW w:type="dxa" w:w="947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timer</w:t>
            </w:r>
          </w:p>
        </w:tc>
        <w:tc>
          <w:tcPr>
            <w:tcW w:type="dxa" w:w="23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uri</w:t>
            </w:r>
          </w:p>
        </w:tc>
        <w:tc>
          <w:tcPr>
            <w:tcW w:type="dxa" w:w="270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RED 的 Duration（P50/P95/P99）</w:t>
            </w:r>
          </w:p>
        </w:tc>
      </w:tr>
      <w:tr>
        <w:tc>
          <w:tcPr>
            <w:tcW w:type="dxa" w:w="297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teampulse_api_errors_total</w:t>
            </w:r>
          </w:p>
        </w:tc>
        <w:tc>
          <w:tcPr>
            <w:tcW w:type="dxa" w:w="947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counter</w:t>
            </w:r>
          </w:p>
        </w:tc>
        <w:tc>
          <w:tcPr>
            <w:tcW w:type="dxa" w:w="23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code</w:t>
            </w:r>
          </w:p>
        </w:tc>
        <w:tc>
          <w:tcPr>
            <w:tcW w:type="dxa" w:w="270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业务错误码分布</w:t>
            </w:r>
          </w:p>
        </w:tc>
      </w:tr>
      <w:tr>
        <w:tc>
          <w:tcPr>
            <w:tcW w:type="dxa" w:w="297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teampulse_attendance_punch_total</w:t>
            </w:r>
          </w:p>
        </w:tc>
        <w:tc>
          <w:tcPr>
            <w:tcW w:type="dxa" w:w="947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counter</w:t>
            </w:r>
          </w:p>
        </w:tc>
        <w:tc>
          <w:tcPr>
            <w:tcW w:type="dxa" w:w="23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result</w:t>
            </w:r>
          </w:p>
        </w:tc>
        <w:tc>
          <w:tcPr>
            <w:tcW w:type="dxa" w:w="270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打卡成功/失败率</w:t>
            </w:r>
          </w:p>
        </w:tc>
      </w:tr>
      <w:tr>
        <w:tc>
          <w:tcPr>
            <w:tcW w:type="dxa" w:w="297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teampulse_attendance_idempotent_total</w:t>
            </w:r>
          </w:p>
        </w:tc>
        <w:tc>
          <w:tcPr>
            <w:tcW w:type="dxa" w:w="947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counter</w:t>
            </w:r>
          </w:p>
        </w:tc>
        <w:tc>
          <w:tcPr>
            <w:tcW w:type="dxa" w:w="23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layer</w:t>
            </w:r>
          </w:p>
        </w:tc>
        <w:tc>
          <w:tcPr>
            <w:tcW w:type="dxa" w:w="270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幂等命中（排查重复上报）</w:t>
            </w:r>
          </w:p>
        </w:tc>
      </w:tr>
    </w:tbl>
    <w:p/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7　定时结算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Consolas"/>
                <w:sz w:val="17"/>
              </w:rPr>
            </w:r>
            <w:r>
              <w:rPr>
                <w:rFonts w:ascii="Consolas" w:hAnsi="Consolas" w:eastAsia="宋体"/>
                <w:sz w:val="18"/>
              </w:rPr>
              <w:t>@Scheduled(cron = "0 5 0 * * ?")   # 每天 00:05，结算前一天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>settleDaily(yesterday):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for each 在职用户: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   agg = 聚合 attendance_record（当日最早/最晚打卡）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   status = 判定（缺任一侧 → ABSENT / 半天）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   upsert attendance_daily(user_id, work_date)   # 唯一索引保证不重复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>说明：写入路径已增量更新过，本任务是「兜底重算」，因此可安全重复执行。</w:t>
            </w:r>
          </w:p>
        </w:tc>
      </w:tr>
    </w:tbl>
    <w:p/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8　架构决策记录（ADR）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每条记录：决定、背景、收益、代价、缓解。看代码前先看这里，能省很多「为什么这么写」的疑问。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ADR-01　采用单体架构而非微服务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7"/>
        <w:gridCol w:w="7920"/>
      </w:tblGrid>
      <w:tr>
        <w:trPr>
          <w:tblHeader/>
        </w:trPr>
        <w:tc>
          <w:tcPr>
            <w:tcW w:type="dxa" w:w="100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</w:t>
            </w:r>
          </w:p>
        </w:tc>
        <w:tc>
          <w:tcPr>
            <w:tcW w:type="dxa" w:w="792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背景</w:t>
            </w:r>
          </w:p>
        </w:tc>
        <w:tc>
          <w:tcPr>
            <w:tcW w:type="dxa" w:w="79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团队规模 1 人、部署目标 1 台 4C4G 服务器；模块间调用是进程内方法调用，拆成微服务后需要服务发现、链路追踪、分布式事务，运维成本远超收益。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收益</w:t>
            </w:r>
          </w:p>
        </w:tc>
        <w:tc>
          <w:tcPr>
            <w:tcW w:type="dxa" w:w="79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启动快、排错简单、部署只有一条 compose 命令。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代价</w:t>
            </w:r>
          </w:p>
        </w:tc>
        <w:tc>
          <w:tcPr>
            <w:tcW w:type="dxa" w:w="79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无法按模块独立扩容；单点故障影响全站。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缓解</w:t>
            </w:r>
          </w:p>
        </w:tc>
        <w:tc>
          <w:tcPr>
            <w:tcW w:type="dxa" w:w="79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模块已按业务域分包（attendance/rbac/kanban…），未来要拆时边界清晰。</w:t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ADR-02　不建物理外键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7"/>
        <w:gridCol w:w="7920"/>
      </w:tblGrid>
      <w:tr>
        <w:trPr>
          <w:tblHeader/>
        </w:trPr>
        <w:tc>
          <w:tcPr>
            <w:tcW w:type="dxa" w:w="100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</w:t>
            </w:r>
          </w:p>
        </w:tc>
        <w:tc>
          <w:tcPr>
            <w:tcW w:type="dxa" w:w="792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背景</w:t>
            </w:r>
          </w:p>
        </w:tc>
        <w:tc>
          <w:tcPr>
            <w:tcW w:type="dxa" w:w="79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审计日志不能因删用户而级联失败；设备上报是高频写路径，外键检查会增加锁竞争；单机场景加外键需锁表，风险高于收益。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收益</w:t>
            </w:r>
          </w:p>
        </w:tc>
        <w:tc>
          <w:tcPr>
            <w:tcW w:type="dxa" w:w="79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写入更快、迁移更自由、审计可长期保留。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代价</w:t>
            </w:r>
          </w:p>
        </w:tc>
        <w:tc>
          <w:tcPr>
            <w:tcW w:type="dxa" w:w="79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一致性靠应用层保证，直接改库可能产生孤儿数据。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缓解</w:t>
            </w:r>
          </w:p>
        </w:tc>
        <w:tc>
          <w:tcPr>
            <w:tcW w:type="dxa" w:w="79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删除一律逻辑删除（deleted 标记），从根本上避免父记录消失；关键关系用唯一索引兜底。</w:t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ADR-03　打卡采用「原始记录 + 日汇总」双表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7"/>
        <w:gridCol w:w="7920"/>
      </w:tblGrid>
      <w:tr>
        <w:trPr>
          <w:tblHeader/>
        </w:trPr>
        <w:tc>
          <w:tcPr>
            <w:tcW w:type="dxa" w:w="100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</w:t>
            </w:r>
          </w:p>
        </w:tc>
        <w:tc>
          <w:tcPr>
            <w:tcW w:type="dxa" w:w="792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背景</w:t>
            </w:r>
          </w:p>
        </w:tc>
        <w:tc>
          <w:tcPr>
            <w:tcW w:type="dxa" w:w="79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日历、报表、公司概览都要按天聚合；若每次实时聚合 5 万行记录，接口会明显变慢。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收益</w:t>
            </w:r>
          </w:p>
        </w:tc>
        <w:tc>
          <w:tcPr>
            <w:tcW w:type="dxa" w:w="79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查询走日汇总表，单日查询从 O(记录数) 降到 O(1)；原始记录仍完整保留可追溯。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代价</w:t>
            </w:r>
          </w:p>
        </w:tc>
        <w:tc>
          <w:tcPr>
            <w:tcW w:type="dxa" w:w="79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存在两份数据，需保证同步。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缓解</w:t>
            </w:r>
          </w:p>
        </w:tc>
        <w:tc>
          <w:tcPr>
            <w:tcW w:type="dxa" w:w="79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写入时增量更新 + cron 每日 00:05 全量重算兜底；日汇总可从原始记录重建。</w:t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ADR-04　权限用「表驱动」而不是代码常量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7"/>
        <w:gridCol w:w="7920"/>
      </w:tblGrid>
      <w:tr>
        <w:trPr>
          <w:tblHeader/>
        </w:trPr>
        <w:tc>
          <w:tcPr>
            <w:tcW w:type="dxa" w:w="100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</w:t>
            </w:r>
          </w:p>
        </w:tc>
        <w:tc>
          <w:tcPr>
            <w:tcW w:type="dxa" w:w="792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背景</w:t>
            </w:r>
          </w:p>
        </w:tc>
        <w:tc>
          <w:tcPr>
            <w:tcW w:type="dxa" w:w="79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22 个权限点 × 6 个角色的组合如果写死在代码里，每次调整都要发版。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收益</w:t>
            </w:r>
          </w:p>
        </w:tc>
        <w:tc>
          <w:tcPr>
            <w:tcW w:type="dxa" w:w="79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改 role_permission 表即可生效，RbacService 有缓存不会拖慢请求。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代价</w:t>
            </w:r>
          </w:p>
        </w:tc>
        <w:tc>
          <w:tcPr>
            <w:tcW w:type="dxa" w:w="79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权限变更缺少界面，目前需写 SQL。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缓解</w:t>
            </w:r>
          </w:p>
        </w:tc>
        <w:tc>
          <w:tcPr>
            <w:tcW w:type="dxa" w:w="79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已在 SRS 列为下一步：权限配置界面 + 变更审计。</w:t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ADR-05　data_scope 挂在角色上而不是用户上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7"/>
        <w:gridCol w:w="7920"/>
      </w:tblGrid>
      <w:tr>
        <w:trPr>
          <w:tblHeader/>
        </w:trPr>
        <w:tc>
          <w:tcPr>
            <w:tcW w:type="dxa" w:w="100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</w:t>
            </w:r>
          </w:p>
        </w:tc>
        <w:tc>
          <w:tcPr>
            <w:tcW w:type="dxa" w:w="792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背景</w:t>
            </w:r>
          </w:p>
        </w:tc>
        <w:tc>
          <w:tcPr>
            <w:tcW w:type="dxa" w:w="79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数据范围是「岗位属性」（HR 看全公司、员工只看自己），不是个人特例；挂角色可以避免为每个人单独配规则。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收益</w:t>
            </w:r>
          </w:p>
        </w:tc>
        <w:tc>
          <w:tcPr>
            <w:tcW w:type="dxa" w:w="79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 个角色只需 3 种范围（ALL/DEPT/SELF），配置量最小。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代价</w:t>
            </w:r>
          </w:p>
        </w:tc>
        <w:tc>
          <w:tcPr>
            <w:tcW w:type="dxa" w:w="79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同一人兼任多岗时无法细粒度组合（当前 user.role 是单值）。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缓解</w:t>
            </w:r>
          </w:p>
        </w:tc>
        <w:tc>
          <w:tcPr>
            <w:tcW w:type="dxa" w:w="79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若引入一人多岗，改为 user_role 后取并集。</w:t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ADR-06　审计用 AOP 注解而不是在每个方法里手写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7"/>
        <w:gridCol w:w="7920"/>
      </w:tblGrid>
      <w:tr>
        <w:trPr>
          <w:tblHeader/>
        </w:trPr>
        <w:tc>
          <w:tcPr>
            <w:tcW w:type="dxa" w:w="100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</w:t>
            </w:r>
          </w:p>
        </w:tc>
        <w:tc>
          <w:tcPr>
            <w:tcW w:type="dxa" w:w="792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背景</w:t>
            </w:r>
          </w:p>
        </w:tc>
        <w:tc>
          <w:tcPr>
            <w:tcW w:type="dxa" w:w="79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20 个写操作都要留痕，手写容易漏、且改动业务代码。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收益</w:t>
            </w:r>
          </w:p>
        </w:tc>
        <w:tc>
          <w:tcPr>
            <w:tcW w:type="dxa" w:w="79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加一行 @Audited 即可，切面统一处理成功/失败/耗时/traceId。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代价</w:t>
            </w:r>
          </w:p>
        </w:tc>
        <w:tc>
          <w:tcPr>
            <w:tcW w:type="dxa" w:w="79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切面异常会影响主流程（已用 try-catch 隔离，审计失败只记日志）。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缓解</w:t>
            </w:r>
          </w:p>
        </w:tc>
        <w:tc>
          <w:tcPr>
            <w:tcW w:type="dxa" w:w="79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审计表只增不改，应用层无删除接口。</w:t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ADR-07　Redis 只做「可降级」的用途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7"/>
        <w:gridCol w:w="7920"/>
      </w:tblGrid>
      <w:tr>
        <w:trPr>
          <w:tblHeader/>
        </w:trPr>
        <w:tc>
          <w:tcPr>
            <w:tcW w:type="dxa" w:w="100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</w:t>
            </w:r>
          </w:p>
        </w:tc>
        <w:tc>
          <w:tcPr>
            <w:tcW w:type="dxa" w:w="792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背景</w:t>
            </w:r>
          </w:p>
        </w:tc>
        <w:tc>
          <w:tcPr>
            <w:tcW w:type="dxa" w:w="79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nonce 防重放需要 TTL 语义；但 Redis 挂了不能导致打卡失败。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收益</w:t>
            </w:r>
          </w:p>
        </w:tc>
        <w:tc>
          <w:tcPr>
            <w:tcW w:type="dxa" w:w="79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Redis 不可用时降级为进程内 TTL 缓存，功能可用（单实例下语义等价）。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代价</w:t>
            </w:r>
          </w:p>
        </w:tc>
        <w:tc>
          <w:tcPr>
            <w:tcW w:type="dxa" w:w="79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多实例部署时降级会导致防重放失效。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缓解</w:t>
            </w:r>
          </w:p>
        </w:tc>
        <w:tc>
          <w:tcPr>
            <w:tcW w:type="dxa" w:w="79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多实例前必须保证 Redis 高可用；已在已知限制中标注。</w:t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ADR-08　统一响应体 + 分段错误码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7"/>
        <w:gridCol w:w="7920"/>
      </w:tblGrid>
      <w:tr>
        <w:trPr>
          <w:tblHeader/>
        </w:trPr>
        <w:tc>
          <w:tcPr>
            <w:tcW w:type="dxa" w:w="100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</w:t>
            </w:r>
          </w:p>
        </w:tc>
        <w:tc>
          <w:tcPr>
            <w:tcW w:type="dxa" w:w="792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背景</w:t>
            </w:r>
          </w:p>
        </w:tc>
        <w:tc>
          <w:tcPr>
            <w:tcW w:type="dxa" w:w="79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前端需要按错误类型决定行为（跳登录 / 提示无权限 / 显示 traceId）。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收益</w:t>
            </w:r>
          </w:p>
        </w:tc>
        <w:tc>
          <w:tcPr>
            <w:tcW w:type="dxa" w:w="79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code=0 成功，4xxxx 客户端，5xxxx 服务端，6xxxx 设备业务；前端映射规则集中。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代价</w:t>
            </w:r>
          </w:p>
        </w:tc>
        <w:tc>
          <w:tcPr>
            <w:tcW w:type="dxa" w:w="79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错误码是自造约定，非 HTTP 标准。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缓解</w:t>
            </w:r>
          </w:p>
        </w:tc>
        <w:tc>
          <w:tcPr>
            <w:tcW w:type="dxa" w:w="79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HTTP 状态码同时保持语义（401/403/404/409），便于网关与日志观察。</w:t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ADR-09　授权判断不复用数据范围判断（isAdmin 语义漂移的教训）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7"/>
        <w:gridCol w:w="7920"/>
      </w:tblGrid>
      <w:tr>
        <w:trPr>
          <w:tblHeader/>
        </w:trPr>
        <w:tc>
          <w:tcPr>
            <w:tcW w:type="dxa" w:w="100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</w:t>
            </w:r>
          </w:p>
        </w:tc>
        <w:tc>
          <w:tcPr>
            <w:tcW w:type="dxa" w:w="792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背景</w:t>
            </w:r>
          </w:p>
        </w:tc>
        <w:tc>
          <w:tcPr>
            <w:tcW w:type="dxa" w:w="79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SecurityUtils.isAdmin() 曾被重新定义为「data_scope=ALL」，于是 hr 与 auditor 也满足该条件；而 6 处授权代码把它当「管理员」用，结果人事和只读审计员可以删除他人的评论、日程、看板、团队、工作日志。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收益</w:t>
            </w:r>
          </w:p>
        </w:tc>
        <w:tc>
          <w:tcPr>
            <w:tcW w:type="dxa" w:w="79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现在改为按各域已有的 *:manage 权限点判断（comment/manage、kanban/manage、schedule/manage、team/manage、worklog/manage），权限调整只需改 role_permission 表。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代价</w:t>
            </w:r>
          </w:p>
        </w:tc>
        <w:tc>
          <w:tcPr>
            <w:tcW w:type="dxa" w:w="79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方法名 isAdmin() 容易误导，读代码时容易再次用错。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缓解</w:t>
            </w:r>
          </w:p>
        </w:tc>
        <w:tc>
          <w:tcPr>
            <w:tcW w:type="dxa" w:w="79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isAdmin() 保留但补了注释说明其语义；授权一律用 hasPermission(Perms.X)；接口断言新增 5b 组做回归（人事删他人评论必须 403）。</w:t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ADR-10　读接口的权限粒度：哪些必须有注解，哪些刻意开放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7"/>
        <w:gridCol w:w="7920"/>
      </w:tblGrid>
      <w:tr>
        <w:trPr>
          <w:tblHeader/>
        </w:trPr>
        <w:tc>
          <w:tcPr>
            <w:tcW w:type="dxa" w:w="100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</w:t>
            </w:r>
          </w:p>
        </w:tc>
        <w:tc>
          <w:tcPr>
            <w:tcW w:type="dxa" w:w="792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背景</w:t>
            </w:r>
          </w:p>
        </w:tc>
        <w:tc>
          <w:tcPr>
            <w:tcW w:type="dxa" w:w="79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盘点时发现部分读接口（GET /schedule、/worklog、/kanban 等）没有 @PreAuthorize，任何登录用户都能调用；而 UI 层已经按权限隐藏入口。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收益</w:t>
            </w:r>
          </w:p>
        </w:tc>
        <w:tc>
          <w:tcPr>
            <w:tcW w:type="dxa" w:w="79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已给「不会打挂任何角色」的读接口补注解：GET /attendance/rule → attendance:rule、GET /kanban 与 /kanban/{id}/detail → kanban:view、GET /worklog、/{id}、/statistics → worklog:view；PUT /devices/{id} 由 device:view 提升为 device:manage（读权限不该能改数据）。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代价</w:t>
            </w:r>
          </w:p>
        </w:tc>
        <w:tc>
          <w:tcPr>
            <w:tcW w:type="dxa" w:w="79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GET /schedule 刻意保持开放：人事没有 schedule:view，但用户工作台的「我的日程」用的就是它，加注解会把人事自己的页面打挂。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缓解</w:t>
            </w:r>
          </w:p>
        </w:tc>
        <w:tc>
          <w:tcPr>
            <w:tcW w:type="dxa" w:w="79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残留风险：人事（data_scope=ALL）理论上能通过 API 读到全公司日程。若要彻底收敛，应把数据范围从「角色级」改为「权限级」，属下一阶段工作；scripts/audit/role-matrix.mjs 会把这类情况列为 ⓘ 提示。</w:t>
            </w:r>
          </w:p>
        </w:tc>
      </w:tr>
    </w:tbl>
    <w:p/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9　编码约定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7200"/>
      </w:tblGrid>
      <w:tr>
        <w:trPr>
          <w:tblHeader/>
        </w:trPr>
        <w:tc>
          <w:tcPr>
            <w:tcW w:type="dxa" w:w="172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约定</w:t>
            </w:r>
          </w:p>
        </w:tc>
        <w:tc>
          <w:tcPr>
            <w:tcW w:type="dxa" w:w="720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做法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响应体</w:t>
            </w:r>
          </w:p>
        </w:tc>
        <w:tc>
          <w:tcPr>
            <w:tcW w:type="dxa" w:w="72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控制器只返回 ApiResponse&lt;T&gt;，不直接返回实体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异常</w:t>
            </w:r>
          </w:p>
        </w:tc>
        <w:tc>
          <w:tcPr>
            <w:tcW w:type="dxa" w:w="72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业务失败抛 BizException.of(ErrorCode.X)；不吞异常、不回 null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权限</w:t>
            </w:r>
          </w:p>
        </w:tc>
        <w:tc>
          <w:tcPr>
            <w:tcW w:type="dxa" w:w="72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写操作必须有 @PreAuthorize；数据范围在 Service 层统一处理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事务</w:t>
            </w:r>
          </w:p>
        </w:tc>
        <w:tc>
          <w:tcPr>
            <w:tcW w:type="dxa" w:w="72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@Transactional 只标注在 Service 的写方法上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命名</w:t>
            </w:r>
          </w:p>
        </w:tc>
        <w:tc>
          <w:tcPr>
            <w:tcW w:type="dxa" w:w="72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Controller/Service/Mapper/entity/DTO 后缀固定；DTO 用内部类分域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日志</w:t>
            </w:r>
          </w:p>
        </w:tc>
        <w:tc>
          <w:tcPr>
            <w:tcW w:type="dxa" w:w="72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关键路径 log.info 带业务标识；异常路径 log.warn 带 traceId（MDC 自动注入）</w:t>
            </w:r>
          </w:p>
        </w:tc>
      </w:tr>
    </w:tbl>
    <w:p/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10　已知技术债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456"/>
        <w:gridCol w:w="2447"/>
      </w:tblGrid>
      <w:tr>
        <w:trPr>
          <w:tblHeader/>
        </w:trPr>
        <w:tc>
          <w:tcPr>
            <w:tcW w:type="dxa" w:w="3024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</w:t>
            </w:r>
          </w:p>
        </w:tc>
        <w:tc>
          <w:tcPr>
            <w:tcW w:type="dxa" w:w="3456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影响</w:t>
            </w:r>
          </w:p>
        </w:tc>
        <w:tc>
          <w:tcPr>
            <w:tcW w:type="dxa" w:w="244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建议</w:t>
            </w:r>
          </w:p>
        </w:tc>
      </w:tr>
      <w:tr>
        <w:tc>
          <w:tcPr>
            <w:tcW w:type="dxa" w:w="30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各域「代他人操作」目前靠创建者 + *:manage 权限点判断</w:t>
            </w:r>
          </w:p>
        </w:tc>
        <w:tc>
          <w:tcPr>
            <w:tcW w:type="dxa" w:w="34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权限点齐全，但缺跨团队的「管理全部」列表入口</w:t>
            </w:r>
          </w:p>
        </w:tc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管理端补跨团队管理视图</w:t>
            </w:r>
          </w:p>
        </w:tc>
      </w:tr>
      <w:tr>
        <w:tc>
          <w:tcPr>
            <w:tcW w:type="dxa" w:w="30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user.role 单值</w:t>
            </w:r>
          </w:p>
        </w:tc>
        <w:tc>
          <w:tcPr>
            <w:tcW w:type="dxa" w:w="34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一人多岗无法表达</w:t>
            </w:r>
          </w:p>
        </w:tc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user_role 关联表</w:t>
            </w:r>
          </w:p>
        </w:tc>
      </w:tr>
      <w:tr>
        <w:tc>
          <w:tcPr>
            <w:tcW w:type="dxa" w:w="30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DEPT 不含子部门</w:t>
            </w:r>
          </w:p>
        </w:tc>
        <w:tc>
          <w:tcPr>
            <w:tcW w:type="dxa" w:w="34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经理看不到下属部门数据</w:t>
            </w:r>
          </w:p>
        </w:tc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递归 CTE 或闭包表</w:t>
            </w:r>
          </w:p>
        </w:tc>
      </w:tr>
      <w:tr>
        <w:tc>
          <w:tcPr>
            <w:tcW w:type="dxa" w:w="30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@Scheduled 无分布式锁</w:t>
            </w:r>
          </w:p>
        </w:tc>
        <w:tc>
          <w:tcPr>
            <w:tcW w:type="dxa" w:w="34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多实例时会重复结算（幂等但不经济）</w:t>
            </w:r>
          </w:p>
        </w:tc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ShedLock</w:t>
            </w:r>
          </w:p>
        </w:tc>
      </w:tr>
      <w:tr>
        <w:tc>
          <w:tcPr>
            <w:tcW w:type="dxa" w:w="30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无物理外键</w:t>
            </w:r>
          </w:p>
        </w:tc>
        <w:tc>
          <w:tcPr>
            <w:tcW w:type="dxa" w:w="34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直接改库可能产生孤儿数据</w:t>
            </w:r>
          </w:p>
        </w:tc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只通过应用写入；或加外键到非审计表</w:t>
            </w:r>
          </w:p>
        </w:tc>
      </w:tr>
      <w:tr>
        <w:tc>
          <w:tcPr>
            <w:tcW w:type="dxa" w:w="302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缺勤只补「昨天」</w:t>
            </w:r>
          </w:p>
        </w:tc>
        <w:tc>
          <w:tcPr>
            <w:tcW w:type="dxa" w:w="34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历史缺失需要手工补</w:t>
            </w:r>
          </w:p>
        </w:tc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补缺勤区间回补接口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1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60" w:lineRule="auto" w:before="0"/>
      <w:ind w:firstLine="42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宋体"/>
      <w:sz w:val="21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宋体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宋体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