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color w:val="1F3864"/>
          <w:sz w:val="44"/>
        </w:rPr>
        <w:t>TeamPulse 项目开发计划书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595959"/>
          <w:sz w:val="28"/>
        </w:rPr>
        <w:t>范围 / 里程碑 / 分工 / 质量 / 配置管理 / 风险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形式：单人全栈开发（1 人承担需求、设计、编码、测试、部署）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周期：约 12 周（含文档与上线）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文档版本 v1.0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1　项目概述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00"/>
      </w:tblGrid>
      <w:tr>
        <w:trPr>
          <w:tblHeader/>
        </w:trPr>
        <w:tc>
          <w:tcPr>
            <w:tcW w:type="dxa" w:w="172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</w:t>
            </w:r>
          </w:p>
        </w:tc>
        <w:tc>
          <w:tcPr>
            <w:tcW w:type="dxa" w:w="720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项目名称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TeamPulse 团队协作与物联网考勤平台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目标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把实训遗留系统改造为「6 角色 RBAC + 物联网打卡 + 可观测 + 可部署」的可用系统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交付形态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Web 应用（前后端分离）+ 嵌入式固件 + 容器化部署包 + 文档集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开发方式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单人全栈，Git 主干开发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代码规模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后端 125 文件 / 约 1.1 万行；前端 37 页面 / 约 1.7 万行；固件约 1100 行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2　工作分解（WBS）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2160"/>
        <w:gridCol w:w="3456"/>
        <w:gridCol w:w="1007"/>
        <w:gridCol w:w="1296"/>
      </w:tblGrid>
      <w:tr>
        <w:trPr>
          <w:tblHeader/>
        </w:trPr>
        <w:tc>
          <w:tcPr>
            <w:tcW w:type="dxa" w:w="100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16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工作包</w:t>
            </w:r>
          </w:p>
        </w:tc>
        <w:tc>
          <w:tcPr>
            <w:tcW w:type="dxa" w:w="345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主要产出</w:t>
            </w:r>
          </w:p>
        </w:tc>
        <w:tc>
          <w:tcPr>
            <w:tcW w:type="dxa" w:w="100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预估</w:t>
            </w:r>
          </w:p>
        </w:tc>
        <w:tc>
          <w:tcPr>
            <w:tcW w:type="dxa" w:w="12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WP-01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调研与重构设计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数据模型 v2、权限矩阵、接口清单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WP-02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数据库与迁移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V1~V8 迁移、21 表、种子数据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0.5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WP-03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认证与 RBAC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JWT、方法级权限、数据范围下推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1.5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WP-04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日程/看板/日志/评论/敏感词/团队/用户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WP-05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考勤域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设备、规则、打卡判定、日汇总、补卡审批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WP-06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物联网接入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ESP32 固件（UART/JSON/HMAC/MQTT）+ 模拟器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1.5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完成（模拟器）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WP-07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前端重建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37 页面、三套日历、检索体系、仪表盘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WP-08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审计与可观测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审计 AOP、traceId、Prometheus 指标、Grafana 看板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WP-09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单测 11、集成 5、接口断言 46、权限审计、压测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  <w:tr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WP-10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部署与运维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compose、部署脚本、部署手册、云上上线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0.5 周</w:t>
            </w:r>
          </w:p>
        </w:tc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完成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3　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5"/>
        <w:gridCol w:w="4464"/>
        <w:gridCol w:w="2678"/>
      </w:tblGrid>
      <w:tr>
        <w:trPr>
          <w:tblHeader/>
        </w:trPr>
        <w:tc>
          <w:tcPr>
            <w:tcW w:type="dxa" w:w="178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里程碑</w:t>
            </w:r>
          </w:p>
        </w:tc>
        <w:tc>
          <w:tcPr>
            <w:tcW w:type="dxa" w:w="4464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判定标准</w:t>
            </w:r>
          </w:p>
        </w:tc>
        <w:tc>
          <w:tcPr>
            <w:tcW w:type="dxa" w:w="267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178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M1 设计冻结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数据模型、权限矩阵、接口清单评审通过</w:t>
            </w:r>
          </w:p>
        </w:tc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78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M2 后端可跑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Flyway 建库 + 登录 + 核心 CRUD 通</w:t>
            </w:r>
          </w:p>
        </w:tc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78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M3 前端可用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37 页面可访问，权限内菜单正确</w:t>
            </w:r>
          </w:p>
        </w:tc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78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M4 打卡闭环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设备上报 → 判定 → 日汇总 → 前端可见</w:t>
            </w:r>
          </w:p>
        </w:tc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已完成（模拟器）</w:t>
            </w:r>
          </w:p>
        </w:tc>
      </w:tr>
      <w:tr>
        <w:tc>
          <w:tcPr>
            <w:tcW w:type="dxa" w:w="178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M5 质量达标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接口断言全绿、无 P0/P1 缺陷</w:t>
            </w:r>
          </w:p>
        </w:tc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已完成（46/46、0 失败）</w:t>
            </w:r>
          </w:p>
        </w:tc>
      </w:tr>
      <w:tr>
        <w:tc>
          <w:tcPr>
            <w:tcW w:type="dxa" w:w="178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M6 上线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云服务器 5 容器 healthy、公网可访问</w:t>
            </w:r>
          </w:p>
        </w:tc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已完成（81.70.102.116）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4　资源计划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8"/>
        <w:gridCol w:w="3868"/>
        <w:gridCol w:w="3571"/>
      </w:tblGrid>
      <w:tr>
        <w:trPr>
          <w:tblHeader/>
        </w:trPr>
        <w:tc>
          <w:tcPr>
            <w:tcW w:type="dxa" w:w="148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资源</w:t>
            </w:r>
          </w:p>
        </w:tc>
        <w:tc>
          <w:tcPr>
            <w:tcW w:type="dxa" w:w="386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3571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48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人力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 人（全栈）</w:t>
            </w:r>
          </w:p>
        </w:tc>
        <w:tc>
          <w:tcPr>
            <w:tcW w:type="dxa" w:w="357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需求/设计/编码/测试/部署/文档</w:t>
            </w:r>
          </w:p>
        </w:tc>
      </w:tr>
      <w:tr>
        <w:tc>
          <w:tcPr>
            <w:tcW w:type="dxa" w:w="148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开发机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Windows 11 + JDK17 + MySQL 8 + Node 20</w:t>
            </w:r>
          </w:p>
        </w:tc>
        <w:tc>
          <w:tcPr>
            <w:tcW w:type="dxa" w:w="357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本地开发与自测</w:t>
            </w:r>
          </w:p>
        </w:tc>
      </w:tr>
      <w:tr>
        <w:tc>
          <w:tcPr>
            <w:tcW w:type="dxa" w:w="148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容器环境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Docker Desktop（WSL2）</w:t>
            </w:r>
          </w:p>
        </w:tc>
        <w:tc>
          <w:tcPr>
            <w:tcW w:type="dxa" w:w="357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镜像构建与编排验证</w:t>
            </w:r>
          </w:p>
        </w:tc>
      </w:tr>
      <w:tr>
        <w:tc>
          <w:tcPr>
            <w:tcW w:type="dxa" w:w="148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云服务器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腾讯云轻量 4C4G（Rocky Linux 10）</w:t>
            </w:r>
          </w:p>
        </w:tc>
        <w:tc>
          <w:tcPr>
            <w:tcW w:type="dxa" w:w="357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演示与验收环境</w:t>
            </w:r>
          </w:p>
        </w:tc>
      </w:tr>
      <w:tr>
        <w:tc>
          <w:tcPr>
            <w:tcW w:type="dxa" w:w="148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硬件（可选）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ESP32 + RC522</w:t>
            </w:r>
          </w:p>
        </w:tc>
        <w:tc>
          <w:tcPr>
            <w:tcW w:type="dxa" w:w="357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真实刷卡验证；无硬件用模拟器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5　质量保证计划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8"/>
        <w:gridCol w:w="2380"/>
        <w:gridCol w:w="3868"/>
      </w:tblGrid>
      <w:tr>
        <w:trPr>
          <w:tblHeader/>
        </w:trPr>
        <w:tc>
          <w:tcPr>
            <w:tcW w:type="dxa" w:w="267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手段</w:t>
            </w:r>
          </w:p>
        </w:tc>
        <w:tc>
          <w:tcPr>
            <w:tcW w:type="dxa" w:w="2381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频率</w:t>
            </w:r>
          </w:p>
        </w:tc>
        <w:tc>
          <w:tcPr>
            <w:tcW w:type="dxa" w:w="386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判定标准</w:t>
            </w:r>
          </w:p>
        </w:tc>
      </w:tr>
      <w:tr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单元测试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每次提交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考勤判定算法全绿</w:t>
            </w:r>
          </w:p>
        </w:tc>
      </w:tr>
      <w:tr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接口断言（46 项）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每次改动 / 上线前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 失败</w:t>
            </w:r>
          </w:p>
        </w:tc>
      </w:tr>
      <w:tr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权限审计（6 角色 × 16 路由）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权限相关改动后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无「看得到摸不到」</w:t>
            </w:r>
          </w:p>
        </w:tc>
      </w:tr>
      <w:tr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压测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上线前 / 改索引后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P95 ≤ 100ms、0 失败</w:t>
            </w:r>
          </w:p>
        </w:tc>
      </w:tr>
      <w:tr>
        <w:tc>
          <w:tcPr>
            <w:tcW w:type="dxa" w:w="267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代码评审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单人项目：自检清单</w:t>
            </w:r>
          </w:p>
        </w:tc>
        <w:tc>
          <w:tcPr>
            <w:tcW w:type="dxa" w:w="386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钩子拦截密钥、编译零警告目标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6　配置管理与交付物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6.1　配置管理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Git 主干开发，提交信息带类型前缀（feat/fix/docs/test/chore）。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pre-commit 钩子拦截硬编码密码、64 位十六进制密钥、私钥文件。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敏感配置全部走 .env（不入库），compose 与 application-prod 均为 fail-closed。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数据库变更只用 Flyway 增量脚本，不手工改线上表结构。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6.2　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7632"/>
      </w:tblGrid>
      <w:tr>
        <w:trPr>
          <w:tblHeader/>
        </w:trPr>
        <w:tc>
          <w:tcPr>
            <w:tcW w:type="dxa" w:w="12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763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源代码</w:t>
            </w:r>
          </w:p>
        </w:tc>
        <w:tc>
          <w:tcPr>
            <w:tcW w:type="dxa" w:w="763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后端（Spring Boot）、前端（Vue 3）、固件（ESP32）、部署脚本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文档</w:t>
            </w:r>
          </w:p>
        </w:tc>
        <w:tc>
          <w:tcPr>
            <w:tcW w:type="dxa" w:w="763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可行性研究、开发计划、需求规格、总体设计、详细设计、数据库设计、接口文档、测试计划与报告、用户手册、部署说明、运维手册、系统图册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763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单元测试、集成测试、接口断言脚本、权限审计脚本、压测脚本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部署</w:t>
            </w:r>
          </w:p>
        </w:tc>
        <w:tc>
          <w:tcPr>
            <w:tcW w:type="dxa" w:w="763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docker-compose、Dockerfile、Nginx 配置、部署脚本、健康检查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运维</w:t>
            </w:r>
          </w:p>
        </w:tc>
        <w:tc>
          <w:tcPr>
            <w:tcW w:type="dxa" w:w="763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备份脚本、监控配置（Prometheus/Grafana）、部署验证记录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7　风险与变更控制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3168"/>
        <w:gridCol w:w="3744"/>
      </w:tblGrid>
      <w:tr>
        <w:trPr>
          <w:tblHeader/>
        </w:trPr>
        <w:tc>
          <w:tcPr>
            <w:tcW w:type="dxa" w:w="201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316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触发信号</w:t>
            </w:r>
          </w:p>
        </w:tc>
        <w:tc>
          <w:tcPr>
            <w:tcW w:type="dxa" w:w="3744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应对预案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范围膨胀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不断加功能导致延期</w:t>
            </w:r>
          </w:p>
        </w:tc>
        <w:tc>
          <w:tcPr>
            <w:tcW w:type="dxa" w:w="374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每条新需求先问「是否影响本期验收」，不进本期就记入待办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依赖不可用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GitHub/Docker Hub 拉取失败</w:t>
            </w:r>
          </w:p>
        </w:tc>
        <w:tc>
          <w:tcPr>
            <w:tcW w:type="dxa" w:w="374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切镜像源；服务器改用本地打包推送通道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线上故障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健康检查失败</w:t>
            </w:r>
          </w:p>
        </w:tc>
        <w:tc>
          <w:tcPr>
            <w:tcW w:type="dxa" w:w="374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按运维手册 SOP 回滚；数据库先备份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进度滞后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里程碑未按期</w:t>
            </w:r>
          </w:p>
        </w:tc>
        <w:tc>
          <w:tcPr>
            <w:tcW w:type="dxa" w:w="374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砍非核心功能（如看板拖拽美化），保交付主线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 w:before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