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F3864"/>
          <w:sz w:val="60"/>
        </w:rPr>
        <w:t>TeamPulse 详细设计与架构决策记录</w:t>
      </w:r>
    </w:p>
    <w:p>
      <w:pPr>
        <w:jc w:val="center"/>
      </w:pPr>
      <w:r>
        <w:rPr>
          <w:rFonts w:ascii="微软雅黑" w:hAnsi="微软雅黑" w:eastAsia="微软雅黑"/>
          <w:color w:val="595959"/>
          <w:sz w:val="26"/>
        </w:rPr>
        <w:t>团队协作与物联网考勤平台 · 实现细节与取舍依据</w:t>
      </w:r>
    </w:p>
    <w:p/>
    <w:p>
      <w:pPr>
        <w:jc w:val="center"/>
      </w:pPr>
      <w:r>
        <w:rPr>
          <w:rFonts w:ascii="微软雅黑" w:hAnsi="微软雅黑" w:eastAsia="微软雅黑"/>
          <w:color w:val="404040"/>
          <w:sz w:val="21"/>
        </w:rPr>
        <w:t>覆盖：认证、打卡、审批、数据范围、审计、可观测、定时结算</w:t>
      </w:r>
    </w:p>
    <w:p>
      <w:pPr>
        <w:jc w:val="center"/>
      </w:pPr>
      <w:r>
        <w:rPr>
          <w:rFonts w:ascii="微软雅黑" w:hAnsi="微软雅黑" w:eastAsia="微软雅黑"/>
          <w:color w:val="404040"/>
          <w:sz w:val="21"/>
        </w:rPr>
        <w:t>包含 8 条 ADR（Architecture Decision Record）</w:t>
      </w:r>
    </w:p>
    <w:p>
      <w:pPr>
        <w:jc w:val="center"/>
      </w:pPr>
      <w:r>
        <w:rPr>
          <w:rFonts w:ascii="微软雅黑" w:hAnsi="微软雅黑" w:eastAsia="微软雅黑"/>
          <w:color w:val="404040"/>
          <w:sz w:val="21"/>
        </w:rPr>
        <w:t>所有类名与行数取自源码，伪代码对应真实实现顺序</w:t>
      </w:r>
    </w:p>
    <w:p>
      <w:pPr>
        <w:jc w:val="center"/>
      </w:pPr>
      <w:r>
        <w:rPr>
          <w:rFonts w:ascii="微软雅黑" w:hAnsi="微软雅黑" w:eastAsia="微软雅黑"/>
          <w:color w:val="404040"/>
          <w:sz w:val="21"/>
        </w:rPr>
        <w:t>文档版本 v1.0</w:t>
      </w:r>
    </w:p>
    <w:p>
      <w:r>
        <w:br w:type="page"/>
      </w:r>
    </w:p>
    <w:p>
      <w:pPr>
        <w:pStyle w:val="Heading1"/>
      </w:pPr>
      <w:r>
        <w:t>1　说明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本文面向「要改这个系统的人」：说明关键流程的逐步实现顺序、核心算法的判定规则、以及当初为什么这么选。与《概要设计》的区别是——概要设计回答「有哪些模块」，本文回答「具体怎么跑、改哪里」。</w:t>
      </w:r>
    </w:p>
    <w:p>
      <w:pPr>
        <w:pStyle w:val="Heading1"/>
      </w:pPr>
      <w:r>
        <w:t>2　关键类职责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80"/>
        <w:gridCol w:w="2044"/>
        <w:gridCol w:w="613"/>
        <w:gridCol w:w="4089"/>
      </w:tblGrid>
      <w:tr>
        <w:tc>
          <w:tcPr>
            <w:tcW w:type="dxa" w:w="2181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类</w:t>
            </w:r>
          </w:p>
        </w:tc>
        <w:tc>
          <w:tcPr>
            <w:tcW w:type="dxa" w:w="2045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所在包</w:t>
            </w:r>
          </w:p>
        </w:tc>
        <w:tc>
          <w:tcPr>
            <w:tcW w:type="dxa" w:w="613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行数</w:t>
            </w:r>
          </w:p>
        </w:tc>
        <w:tc>
          <w:tcPr>
            <w:tcW w:type="dxa" w:w="408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职责</w:t>
            </w:r>
          </w:p>
        </w:tc>
      </w:tr>
      <w:tr>
        <w:tc>
          <w:tcPr>
            <w:tcW w:type="dxa" w:w="218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AttendanceService</w:t>
            </w:r>
          </w:p>
        </w:tc>
        <w:tc>
          <w:tcPr>
            <w:tcW w:type="dxa" w:w="204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module/attendance/service</w:t>
            </w:r>
          </w:p>
        </w:tc>
        <w:tc>
          <w:tcPr>
            <w:tcW w:type="dxa" w:w="61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700</w:t>
            </w:r>
          </w:p>
        </w:tc>
        <w:tc>
          <w:tcPr>
            <w:tcW w:type="dxa" w:w="408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打卡主流程：验签编排、幂等、判定、落库、日汇总刷新；MQTT 与 HTTP 两个入口共用</w:t>
            </w:r>
          </w:p>
        </w:tc>
      </w:tr>
      <w:tr>
        <w:tc>
          <w:tcPr>
            <w:tcW w:type="dxa" w:w="218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DeviceSignatureVerifier</w:t>
            </w:r>
          </w:p>
        </w:tc>
        <w:tc>
          <w:tcPr>
            <w:tcW w:type="dxa" w:w="204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module/attendance/service</w:t>
            </w:r>
          </w:p>
        </w:tc>
        <w:tc>
          <w:tcPr>
            <w:tcW w:type="dxa" w:w="61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—</w:t>
            </w:r>
          </w:p>
        </w:tc>
        <w:tc>
          <w:tcPr>
            <w:tcW w:type="dxa" w:w="408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HMAC-SHA256 验签与时钟漂移校验；签名串构造集中在这里，避免两处入口写不一致</w:t>
            </w:r>
          </w:p>
        </w:tc>
      </w:tr>
      <w:tr>
        <w:tc>
          <w:tcPr>
            <w:tcW w:type="dxa" w:w="218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NonceDedupService</w:t>
            </w:r>
          </w:p>
        </w:tc>
        <w:tc>
          <w:tcPr>
            <w:tcW w:type="dxa" w:w="204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module/attendance/service</w:t>
            </w:r>
          </w:p>
        </w:tc>
        <w:tc>
          <w:tcPr>
            <w:tcW w:type="dxa" w:w="61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—</w:t>
            </w:r>
          </w:p>
        </w:tc>
        <w:tc>
          <w:tcPr>
            <w:tcW w:type="dxa" w:w="408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nonce 防重放：Redis SET NX EX 600，Redis 不可用时降级为本地 TTL 缓存</w:t>
            </w:r>
          </w:p>
        </w:tc>
      </w:tr>
      <w:tr>
        <w:tc>
          <w:tcPr>
            <w:tcW w:type="dxa" w:w="218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AttendanceCalculator</w:t>
            </w:r>
          </w:p>
        </w:tc>
        <w:tc>
          <w:tcPr>
            <w:tcW w:type="dxa" w:w="204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module/attendance/service</w:t>
            </w:r>
          </w:p>
        </w:tc>
        <w:tc>
          <w:tcPr>
            <w:tcW w:type="dxa" w:w="61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129</w:t>
            </w:r>
          </w:p>
        </w:tc>
        <w:tc>
          <w:tcPr>
            <w:tcW w:type="dxa" w:w="408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纯函数式判定：根据时间与规则算出 NORMAL / LATE / EARLY_LEAVE，可单测</w:t>
            </w:r>
          </w:p>
        </w:tc>
      </w:tr>
      <w:tr>
        <w:tc>
          <w:tcPr>
            <w:tcW w:type="dxa" w:w="218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AttendanceSummaryService</w:t>
            </w:r>
          </w:p>
        </w:tc>
        <w:tc>
          <w:tcPr>
            <w:tcW w:type="dxa" w:w="204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module/attendance/service</w:t>
            </w:r>
          </w:p>
        </w:tc>
        <w:tc>
          <w:tcPr>
            <w:tcW w:type="dxa" w:w="61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130</w:t>
            </w:r>
          </w:p>
        </w:tc>
        <w:tc>
          <w:tcPr>
            <w:tcW w:type="dxa" w:w="408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日汇总（attendance_daily）的重算与增量更新</w:t>
            </w:r>
          </w:p>
        </w:tc>
      </w:tr>
      <w:tr>
        <w:tc>
          <w:tcPr>
            <w:tcW w:type="dxa" w:w="218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MakeupRequestService</w:t>
            </w:r>
          </w:p>
        </w:tc>
        <w:tc>
          <w:tcPr>
            <w:tcW w:type="dxa" w:w="204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module/attendance/service</w:t>
            </w:r>
          </w:p>
        </w:tc>
        <w:tc>
          <w:tcPr>
            <w:tcW w:type="dxa" w:w="61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235</w:t>
            </w:r>
          </w:p>
        </w:tc>
        <w:tc>
          <w:tcPr>
            <w:tcW w:type="dxa" w:w="408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补卡审批状态机：pending → approved/rejected，通过时回写打卡记录</w:t>
            </w:r>
          </w:p>
        </w:tc>
      </w:tr>
      <w:tr>
        <w:tc>
          <w:tcPr>
            <w:tcW w:type="dxa" w:w="218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DataScopeService</w:t>
            </w:r>
          </w:p>
        </w:tc>
        <w:tc>
          <w:tcPr>
            <w:tcW w:type="dxa" w:w="204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module/rbac/service</w:t>
            </w:r>
          </w:p>
        </w:tc>
        <w:tc>
          <w:tcPr>
            <w:tcW w:type="dxa" w:w="61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—</w:t>
            </w:r>
          </w:p>
        </w:tc>
        <w:tc>
          <w:tcPr>
            <w:tcW w:type="dxa" w:w="408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把角色的 data_scope 换算成 userId 集合；ALL 直接放行，DEPT/SELF 下推 IN 条件</w:t>
            </w:r>
          </w:p>
        </w:tc>
      </w:tr>
      <w:tr>
        <w:tc>
          <w:tcPr>
            <w:tcW w:type="dxa" w:w="218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RbacService</w:t>
            </w:r>
          </w:p>
        </w:tc>
        <w:tc>
          <w:tcPr>
            <w:tcW w:type="dxa" w:w="204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module/rbac/service</w:t>
            </w:r>
          </w:p>
        </w:tc>
        <w:tc>
          <w:tcPr>
            <w:tcW w:type="dxa" w:w="61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—</w:t>
            </w:r>
          </w:p>
        </w:tc>
        <w:tc>
          <w:tcPr>
            <w:tcW w:type="dxa" w:w="408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角色-权限映射，带进程内缓存；登录时组装 22 个权限点</w:t>
            </w:r>
          </w:p>
        </w:tc>
      </w:tr>
      <w:tr>
        <w:tc>
          <w:tcPr>
            <w:tcW w:type="dxa" w:w="218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AuditLogAspect</w:t>
            </w:r>
          </w:p>
        </w:tc>
        <w:tc>
          <w:tcPr>
            <w:tcW w:type="dxa" w:w="204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module/audit/aspect</w:t>
            </w:r>
          </w:p>
        </w:tc>
        <w:tc>
          <w:tcPr>
            <w:tcW w:type="dxa" w:w="61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128</w:t>
            </w:r>
          </w:p>
        </w:tc>
        <w:tc>
          <w:tcPr>
            <w:tcW w:type="dxa" w:w="408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环绕 @Audited 方法，成功失败都落库，写入 traceId 与耗时</w:t>
            </w:r>
          </w:p>
        </w:tc>
      </w:tr>
      <w:tr>
        <w:tc>
          <w:tcPr>
            <w:tcW w:type="dxa" w:w="218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RequestObservabilityFilter</w:t>
            </w:r>
          </w:p>
        </w:tc>
        <w:tc>
          <w:tcPr>
            <w:tcW w:type="dxa" w:w="204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config</w:t>
            </w:r>
          </w:p>
        </w:tc>
        <w:tc>
          <w:tcPr>
            <w:tcW w:type="dxa" w:w="61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86</w:t>
            </w:r>
          </w:p>
        </w:tc>
        <w:tc>
          <w:tcPr>
            <w:tcW w:type="dxa" w:w="408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每个请求生成 traceId（MDC + X-Trace-Id），记录 RED 指标</w:t>
            </w:r>
          </w:p>
        </w:tc>
      </w:tr>
      <w:tr>
        <w:tc>
          <w:tcPr>
            <w:tcW w:type="dxa" w:w="218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JwtAuthenticationFilter</w:t>
            </w:r>
          </w:p>
        </w:tc>
        <w:tc>
          <w:tcPr>
            <w:tcW w:type="dxa" w:w="204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security</w:t>
            </w:r>
          </w:p>
        </w:tc>
        <w:tc>
          <w:tcPr>
            <w:tcW w:type="dxa" w:w="61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—</w:t>
            </w:r>
          </w:p>
        </w:tc>
        <w:tc>
          <w:tcPr>
            <w:tcW w:type="dxa" w:w="408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解析 Bearer token → SecurityContext；401 时走统一 JSON 响应</w:t>
            </w:r>
          </w:p>
        </w:tc>
      </w:tr>
      <w:tr>
        <w:tc>
          <w:tcPr>
            <w:tcW w:type="dxa" w:w="218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GlobalExceptionHandler</w:t>
            </w:r>
          </w:p>
        </w:tc>
        <w:tc>
          <w:tcPr>
            <w:tcW w:type="dxa" w:w="204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common/exception</w:t>
            </w:r>
          </w:p>
        </w:tc>
        <w:tc>
          <w:tcPr>
            <w:tcW w:type="dxa" w:w="613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152</w:t>
            </w:r>
          </w:p>
        </w:tc>
        <w:tc>
          <w:tcPr>
            <w:tcW w:type="dxa" w:w="408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业务异常/参数校验/未捕获异常统一转 ApiResponse，并累加错误指标</w:t>
            </w:r>
          </w:p>
        </w:tc>
      </w:tr>
    </w:tbl>
    <w:p/>
    <w:p>
      <w:pPr>
        <w:pStyle w:val="Heading1"/>
      </w:pPr>
      <w:r>
        <w:t>3　打卡上报详细设计</w:t>
      </w:r>
    </w:p>
    <w:p>
      <w:pPr>
        <w:pStyle w:val="Heading2"/>
      </w:pPr>
      <w:r>
        <w:t>3.1　入口与共用逻辑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两个入口最终都调用 AttendanceService.handlePunch(message, source)：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96"/>
        <w:gridCol w:w="5760"/>
        <w:gridCol w:w="1872"/>
      </w:tblGrid>
      <w:tr>
        <w:tc>
          <w:tcPr>
            <w:tcW w:type="dxa" w:w="129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入口</w:t>
            </w:r>
          </w:p>
        </w:tc>
        <w:tc>
          <w:tcPr>
            <w:tcW w:type="dxa" w:w="576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触发方式</w:t>
            </w:r>
          </w:p>
        </w:tc>
        <w:tc>
          <w:tcPr>
            <w:tcW w:type="dxa" w:w="187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source 取值</w:t>
            </w:r>
          </w:p>
        </w:tc>
      </w:tr>
      <w:tr>
        <w:tc>
          <w:tcPr>
            <w:tcW w:type="dxa" w:w="12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MQTT</w:t>
            </w:r>
          </w:p>
        </w:tc>
        <w:tc>
          <w:tcPr>
            <w:tcW w:type="dxa" w:w="576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订阅 attendance/checkin（客户端 ID teampulse-backend-1）</w:t>
            </w:r>
          </w:p>
        </w:tc>
        <w:tc>
          <w:tcPr>
            <w:tcW w:type="dxa" w:w="187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MQTT</w:t>
            </w:r>
          </w:p>
        </w:tc>
      </w:tr>
      <w:tr>
        <w:tc>
          <w:tcPr>
            <w:tcW w:type="dxa" w:w="12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HTTP</w:t>
            </w:r>
          </w:p>
        </w:tc>
        <w:tc>
          <w:tcPr>
            <w:tcW w:type="dxa" w:w="576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IotIngestController → POST /iot/v1/punch</w:t>
            </w:r>
          </w:p>
        </w:tc>
        <w:tc>
          <w:tcPr>
            <w:tcW w:type="dxa" w:w="187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HTTP</w:t>
            </w:r>
          </w:p>
        </w:tc>
      </w:tr>
    </w:tbl>
    <w:p/>
    <w:p>
      <w:pPr>
        <w:pStyle w:val="Heading2"/>
      </w:pPr>
      <w:r>
        <w:t>3.2　处理顺序（与代码一致）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8928"/>
            <w:shd w:val="clear" w:fill="F2F2F2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sz w:val="16"/>
              </w:rPr>
              <w:t>handlePunch(msg, source):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1. 参数基本校验（sn/工号/时间/nonce/sign 非空）        → 60005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2. DeviceSignatureVerifier.verify(...)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a. 按 deviceSn 查设备                              → 60001 未注册 / 60002 已禁用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b. 校验 |设备时间 - 服务端时间| &lt;= 300s             → 60006 时钟漂移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c. canonical = sn|empNo|punchTime|nonce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  sign == HEX(HMAC-SHA256(secret, canonical))     → 60003 签名错误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3. NonceDedupService.claim(nonce, ttl=600s)             → 首次返回 true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Redis SET NX EX；Redis 不可用 → 本地 ConcurrentHashMap + 过期清理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4. 工号 → 用户（离职/不存在）                            → 61001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5. 读考勤规则（未配置）                                  → 61002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6. AttendanceCalculator 判定状态（NORMAL/LATE/EARLY_LEAVE）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7. 插入 attendance_record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唯一索引 (message_id) / (employee_no, punch_time) 冲突 → 幂等返回 200，不新增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8. 刷新当日 attendance_daily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9. micormeter: punch_total{result=success|failure}、idempotent_total{layer=...}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10. 返回 AckMessage(id, status, workDate)</w:t>
            </w:r>
          </w:p>
        </w:tc>
      </w:tr>
    </w:tbl>
    <w:p/>
    <w:p>
      <w:pPr>
        <w:pStyle w:val="Heading2"/>
      </w:pPr>
      <w:r>
        <w:t>3.3　三层幂等的分工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5"/>
        <w:gridCol w:w="2846"/>
        <w:gridCol w:w="2975"/>
        <w:gridCol w:w="2070"/>
      </w:tblGrid>
      <w:tr>
        <w:tc>
          <w:tcPr>
            <w:tcW w:type="dxa" w:w="1035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层</w:t>
            </w:r>
          </w:p>
        </w:tc>
        <w:tc>
          <w:tcPr>
            <w:tcW w:type="dxa" w:w="2847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机制</w:t>
            </w:r>
          </w:p>
        </w:tc>
        <w:tc>
          <w:tcPr>
            <w:tcW w:type="dxa" w:w="297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作用范围</w:t>
            </w:r>
          </w:p>
        </w:tc>
        <w:tc>
          <w:tcPr>
            <w:tcW w:type="dxa" w:w="207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命中后行为</w:t>
            </w:r>
          </w:p>
        </w:tc>
      </w:tr>
      <w:tr>
        <w:tc>
          <w:tcPr>
            <w:tcW w:type="dxa" w:w="103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报文层</w:t>
            </w:r>
          </w:p>
        </w:tc>
        <w:tc>
          <w:tcPr>
            <w:tcW w:type="dxa" w:w="28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message_id 唯一索引</w:t>
            </w:r>
          </w:p>
        </w:tc>
        <w:tc>
          <w:tcPr>
            <w:tcW w:type="dxa" w:w="29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同一报文重复投递（MQTT QoS1 重发）</w:t>
            </w:r>
          </w:p>
        </w:tc>
        <w:tc>
          <w:tcPr>
            <w:tcW w:type="dxa" w:w="207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捕获冲突 → 返回成功</w:t>
            </w:r>
          </w:p>
        </w:tc>
      </w:tr>
      <w:tr>
        <w:tc>
          <w:tcPr>
            <w:tcW w:type="dxa" w:w="103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请求层</w:t>
            </w:r>
          </w:p>
        </w:tc>
        <w:tc>
          <w:tcPr>
            <w:tcW w:type="dxa" w:w="28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nonce + Redis SET NX</w:t>
            </w:r>
          </w:p>
        </w:tc>
        <w:tc>
          <w:tcPr>
            <w:tcW w:type="dxa" w:w="29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同一 nonce 的短时重放（含攻击）</w:t>
            </w:r>
          </w:p>
        </w:tc>
        <w:tc>
          <w:tcPr>
            <w:tcW w:type="dxa" w:w="207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60005 / 60004 拒绝</w:t>
            </w:r>
          </w:p>
        </w:tc>
      </w:tr>
      <w:tr>
        <w:tc>
          <w:tcPr>
            <w:tcW w:type="dxa" w:w="103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业务层</w:t>
            </w:r>
          </w:p>
        </w:tc>
        <w:tc>
          <w:tcPr>
            <w:tcW w:type="dxa" w:w="28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employee_no + punch_time 唯一索引</w:t>
            </w:r>
          </w:p>
        </w:tc>
        <w:tc>
          <w:tcPr>
            <w:tcW w:type="dxa" w:w="29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不同报文但同一人同一时刻</w:t>
            </w:r>
          </w:p>
        </w:tc>
        <w:tc>
          <w:tcPr>
            <w:tcW w:type="dxa" w:w="207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视为重复，返回成功</w:t>
            </w:r>
          </w:p>
        </w:tc>
      </w:tr>
    </w:tbl>
    <w:p/>
    <w:p>
      <w:pPr>
        <w:pStyle w:val="Heading2"/>
      </w:pPr>
      <w:r>
        <w:t>3.4　判定算法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8928"/>
            <w:shd w:val="clear" w:fill="F2F2F2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sz w:val="16"/>
              </w:rPr>
              <w:t>判定（只依赖「打卡时间」与「规则」两个输入，因此可纯函数单测）：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上班：t &lt;= workStart                     → NORMAL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workStart &lt; t &lt;= workStart + grace  → NORMAL（宽限期内不算迟到）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t &gt; workStart + grace               → LATE，late_minutes = t - workStart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下班：t &gt;= workEnd                       → NORMAL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workEnd - grace &lt;= t &lt; workEnd      → NORMAL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 t &lt; workEnd - grace                 → EARLY_LEAVE，early_leave_minutes = workEnd - 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缺勤：当日无任何打卡 → 由结算任务补 ABSENT</w:t>
            </w:r>
          </w:p>
        </w:tc>
      </w:tr>
    </w:tbl>
    <w:p/>
    <w:p>
      <w:pPr>
        <w:pStyle w:val="Heading1"/>
      </w:pPr>
      <w:r>
        <w:t>4　补卡审批详细设计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8928"/>
            <w:shd w:val="clear" w:fill="F2F2F2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sz w:val="16"/>
              </w:rPr>
              <w:t>提交：POST /api/v1/makeup（权限 makeup:submit）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→ 校验日期不在未来、该日确实缺少对应打卡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→ 落 makeup_request(status=pending)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审批：POST /api/v1/makeup/{id}/review（权限 attendance:approve）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→ 读记录；若 status != pending → 409（这就是重复审批返回 40900 的来源）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→ approved=true：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UPDATE status=approved, approver_id, reviewed_at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INSERT attendance_record(source=MANUAL, sign_verified=0)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重算该日 attendance_daily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→ approved=false：UPDATE status=rejected + 审批意见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并发：状态判断用「条件更新」(WHERE status='pending')，受影响行数为 0 即视为已被处理。</w:t>
            </w:r>
          </w:p>
        </w:tc>
      </w:tr>
    </w:tbl>
    <w:p/>
    <w:p>
      <w:pPr>
        <w:pStyle w:val="Heading1"/>
      </w:pPr>
      <w:r>
        <w:t>5　数据范围实现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8928"/>
            <w:shd w:val="clear" w:fill="F2F2F2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sz w:val="16"/>
              </w:rPr>
              <w:t>DataScopeService.current():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user = SecurityUtils.currentUserId()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role = 当前用户的角色 key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scope = 角色的 data_scope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if scope == ALL:   return DataScope.unrestricted()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if scope == SELF:  return DataScope.ofUsers(List.of(user))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if scope == DEPT: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ids = userMapper.selectByDepartment(user.departmentId)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return DataScope.ofUsers(ids)          # 空集合时调用方加 "1 = 0"，避免 IN ()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调用方（Service）统一写法：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DataScope scope = dataScopeService.current();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if (!scope.isUnrestricted()) 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if (scope.userIds().isEmpty()) wrapper.apply("1 = 0");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else wrapper.in(Entity::getUserId, scope.userIds());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→ 范围条件在 SQL 层生效，不存在「查全量再过滤」</w:t>
            </w:r>
          </w:p>
        </w:tc>
      </w:tr>
    </w:tbl>
    <w:p/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这样做的收益：分页 total 也是准确的（先过滤再分页），且数据库只返回该看见的行。</w:t>
      </w:r>
    </w:p>
    <w:p>
      <w:pPr>
        <w:pStyle w:val="Heading1"/>
      </w:pPr>
      <w:r>
        <w:t>6　审计与可观测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8928"/>
            <w:shd w:val="clear" w:fill="F2F2F2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sz w:val="16"/>
              </w:rPr>
              <w:t>@Audited(module="attendance", action="APPROVE_MAKEUP", detail="补卡审批")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↓ 环绕通知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try: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result = pjp.proceed()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记 result=SUCCESS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except e: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记 result=FAILURE + 错误信息，异常继续抛出（不影响主流程语义）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finally: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写 audit_log(operator, module, action, target, detail, result, duration_ms, trace_id)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76"/>
        <w:gridCol w:w="946"/>
        <w:gridCol w:w="2299"/>
        <w:gridCol w:w="2705"/>
      </w:tblGrid>
      <w:tr>
        <w:tc>
          <w:tcPr>
            <w:tcW w:type="dxa" w:w="297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947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类型</w:t>
            </w:r>
          </w:p>
        </w:tc>
        <w:tc>
          <w:tcPr>
            <w:tcW w:type="dxa" w:w="230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标签</w:t>
            </w:r>
          </w:p>
        </w:tc>
        <w:tc>
          <w:tcPr>
            <w:tcW w:type="dxa" w:w="2705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用途</w:t>
            </w:r>
          </w:p>
        </w:tc>
      </w:tr>
      <w:tr>
        <w:tc>
          <w:tcPr>
            <w:tcW w:type="dxa" w:w="29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teampulse_api_requests_total</w:t>
            </w:r>
          </w:p>
        </w:tc>
        <w:tc>
          <w:tcPr>
            <w:tcW w:type="dxa" w:w="9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counter</w:t>
            </w:r>
          </w:p>
        </w:tc>
        <w:tc>
          <w:tcPr>
            <w:tcW w:type="dxa" w:w="23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method, uri（路由模板）, status</w:t>
            </w:r>
          </w:p>
        </w:tc>
        <w:tc>
          <w:tcPr>
            <w:tcW w:type="dxa" w:w="270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RED 的 Rate</w:t>
            </w:r>
          </w:p>
        </w:tc>
      </w:tr>
      <w:tr>
        <w:tc>
          <w:tcPr>
            <w:tcW w:type="dxa" w:w="29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teampulse_api_latency_seconds</w:t>
            </w:r>
          </w:p>
        </w:tc>
        <w:tc>
          <w:tcPr>
            <w:tcW w:type="dxa" w:w="9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timer</w:t>
            </w:r>
          </w:p>
        </w:tc>
        <w:tc>
          <w:tcPr>
            <w:tcW w:type="dxa" w:w="23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uri</w:t>
            </w:r>
          </w:p>
        </w:tc>
        <w:tc>
          <w:tcPr>
            <w:tcW w:type="dxa" w:w="270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RED 的 Duration（P50/P95/P99）</w:t>
            </w:r>
          </w:p>
        </w:tc>
      </w:tr>
      <w:tr>
        <w:tc>
          <w:tcPr>
            <w:tcW w:type="dxa" w:w="29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teampulse_api_errors_total</w:t>
            </w:r>
          </w:p>
        </w:tc>
        <w:tc>
          <w:tcPr>
            <w:tcW w:type="dxa" w:w="9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counter</w:t>
            </w:r>
          </w:p>
        </w:tc>
        <w:tc>
          <w:tcPr>
            <w:tcW w:type="dxa" w:w="23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code</w:t>
            </w:r>
          </w:p>
        </w:tc>
        <w:tc>
          <w:tcPr>
            <w:tcW w:type="dxa" w:w="270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业务错误码分布</w:t>
            </w:r>
          </w:p>
        </w:tc>
      </w:tr>
      <w:tr>
        <w:tc>
          <w:tcPr>
            <w:tcW w:type="dxa" w:w="29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teampulse_attendance_punch_total</w:t>
            </w:r>
          </w:p>
        </w:tc>
        <w:tc>
          <w:tcPr>
            <w:tcW w:type="dxa" w:w="9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counter</w:t>
            </w:r>
          </w:p>
        </w:tc>
        <w:tc>
          <w:tcPr>
            <w:tcW w:type="dxa" w:w="23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result</w:t>
            </w:r>
          </w:p>
        </w:tc>
        <w:tc>
          <w:tcPr>
            <w:tcW w:type="dxa" w:w="270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打卡成功/失败率</w:t>
            </w:r>
          </w:p>
        </w:tc>
      </w:tr>
      <w:tr>
        <w:tc>
          <w:tcPr>
            <w:tcW w:type="dxa" w:w="297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teampulse_attendance_idempotent_total</w:t>
            </w:r>
          </w:p>
        </w:tc>
        <w:tc>
          <w:tcPr>
            <w:tcW w:type="dxa" w:w="947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counter</w:t>
            </w:r>
          </w:p>
        </w:tc>
        <w:tc>
          <w:tcPr>
            <w:tcW w:type="dxa" w:w="23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layer</w:t>
            </w:r>
          </w:p>
        </w:tc>
        <w:tc>
          <w:tcPr>
            <w:tcW w:type="dxa" w:w="2705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幂等命中（排查重复上报）</w:t>
            </w:r>
          </w:p>
        </w:tc>
      </w:tr>
    </w:tbl>
    <w:p/>
    <w:p>
      <w:pPr>
        <w:pStyle w:val="Heading1"/>
      </w:pPr>
      <w:r>
        <w:t>7　定时结算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8928"/>
            <w:shd w:val="clear" w:fill="F2F2F2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sz w:val="16"/>
              </w:rPr>
              <w:t>@Scheduled(cron = "0 5 0 * * ?")   # 每天 00:05，结算前一天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settleDaily(yesterday):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for each 在职用户: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agg = 聚合 attendance_record（当日最早/最晚打卡）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status = 判定（缺任一侧 → ABSENT / 半天）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 xml:space="preserve">       upsert attendance_daily(user_id, work_date)   # 唯一索引保证不重复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6"/>
              </w:rPr>
              <w:t>说明：写入路径已增量更新过，本任务是「兜底重算」，因此可安全重复执行。</w:t>
            </w:r>
          </w:p>
        </w:tc>
      </w:tr>
    </w:tbl>
    <w:p/>
    <w:p>
      <w:pPr>
        <w:pStyle w:val="Heading1"/>
      </w:pPr>
      <w:r>
        <w:t>8　架构决策记录（ADR）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每条记录：决定、背景、收益、代价、缓解。看代码前先看这里，能省很多「为什么这么写」的疑问。</w:t>
      </w:r>
    </w:p>
    <w:p>
      <w:pPr>
        <w:pStyle w:val="Heading2"/>
      </w:pPr>
      <w:r>
        <w:t>ADR-01　采用单体架构而非微服务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7"/>
        <w:gridCol w:w="7920"/>
      </w:tblGrid>
      <w:tr>
        <w:tc>
          <w:tcPr>
            <w:tcW w:type="dxa" w:w="100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792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背景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团队规模 1 人、部署目标 1 台 4C4G 服务器；模块间调用是进程内方法调用，拆成微服务后需要服务发现、链路追踪、分布式事务，运维成本远超收益。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收益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启动快、排错简单、部署只有一条 compose 命令。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代价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无法按模块独立扩容；单点故障影响全站。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缓解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模块已按业务域分包（attendance/rbac/kanban…），未来要拆时边界清晰。</w:t>
            </w:r>
          </w:p>
        </w:tc>
      </w:tr>
    </w:tbl>
    <w:p/>
    <w:p>
      <w:pPr>
        <w:pStyle w:val="Heading2"/>
      </w:pPr>
      <w:r>
        <w:t>ADR-02　不建物理外键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7"/>
        <w:gridCol w:w="7920"/>
      </w:tblGrid>
      <w:tr>
        <w:tc>
          <w:tcPr>
            <w:tcW w:type="dxa" w:w="100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792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背景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审计日志不能因删用户而级联失败；设备上报是高频写路径，外键检查会增加锁竞争；单机场景加外键需锁表，风险高于收益。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收益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写入更快、迁移更自由、审计可长期保留。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代价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一致性靠应用层保证，直接改库可能产生孤儿数据。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缓解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删除一律逻辑删除（deleted 标记），从根本上避免父记录消失；关键关系用唯一索引兜底。</w:t>
            </w:r>
          </w:p>
        </w:tc>
      </w:tr>
    </w:tbl>
    <w:p/>
    <w:p>
      <w:pPr>
        <w:pStyle w:val="Heading2"/>
      </w:pPr>
      <w:r>
        <w:t>ADR-03　打卡采用「原始记录 + 日汇总」双表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7"/>
        <w:gridCol w:w="7920"/>
      </w:tblGrid>
      <w:tr>
        <w:tc>
          <w:tcPr>
            <w:tcW w:type="dxa" w:w="100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792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背景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日历、报表、公司概览都要按天聚合；若每次实时聚合 5 万行记录，接口会明显变慢。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收益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查询走日汇总表，单日查询从 O(记录数) 降到 O(1)；原始记录仍完整保留可追溯。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代价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存在两份数据，需保证同步。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缓解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写入时增量更新 + cron 每日 00:05 全量重算兜底；日汇总可从原始记录重建。</w:t>
            </w:r>
          </w:p>
        </w:tc>
      </w:tr>
    </w:tbl>
    <w:p/>
    <w:p>
      <w:pPr>
        <w:pStyle w:val="Heading2"/>
      </w:pPr>
      <w:r>
        <w:t>ADR-04　权限用「表驱动」而不是代码常量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7"/>
        <w:gridCol w:w="7920"/>
      </w:tblGrid>
      <w:tr>
        <w:tc>
          <w:tcPr>
            <w:tcW w:type="dxa" w:w="100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792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背景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22 个权限点 × 6 个角色的组合如果写死在代码里，每次调整都要发版。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收益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改 role_permission 表即可生效，RbacService 有缓存不会拖慢请求。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代价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权限变更缺少界面，目前需写 SQL。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缓解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已在 SRS 列为下一步：权限配置界面 + 变更审计。</w:t>
            </w:r>
          </w:p>
        </w:tc>
      </w:tr>
    </w:tbl>
    <w:p/>
    <w:p>
      <w:pPr>
        <w:pStyle w:val="Heading2"/>
      </w:pPr>
      <w:r>
        <w:t>ADR-05　data_scope 挂在角色上而不是用户上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7"/>
        <w:gridCol w:w="7920"/>
      </w:tblGrid>
      <w:tr>
        <w:tc>
          <w:tcPr>
            <w:tcW w:type="dxa" w:w="100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792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背景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数据范围是「岗位属性」（HR 看全公司、员工只看自己），不是个人特例；挂角色可以避免为每个人单独配规则。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收益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6 个角色只需 3 种范围（ALL/DEPT/SELF），配置量最小。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代价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同一人兼任多岗时无法细粒度组合（当前 user.role 是单值）。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缓解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若引入一人多岗，改为 user_role 后取并集。</w:t>
            </w:r>
          </w:p>
        </w:tc>
      </w:tr>
    </w:tbl>
    <w:p/>
    <w:p>
      <w:pPr>
        <w:pStyle w:val="Heading2"/>
      </w:pPr>
      <w:r>
        <w:t>ADR-06　审计用 AOP 注解而不是在每个方法里手写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7"/>
        <w:gridCol w:w="7920"/>
      </w:tblGrid>
      <w:tr>
        <w:tc>
          <w:tcPr>
            <w:tcW w:type="dxa" w:w="100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792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背景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20 个写操作都要留痕，手写容易漏、且改动业务代码。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收益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加一行 @Audited 即可，切面统一处理成功/失败/耗时/traceId。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代价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切面异常会影响主流程（已用 try-catch 隔离，审计失败只记日志）。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缓解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审计表只增不改，应用层无删除接口。</w:t>
            </w:r>
          </w:p>
        </w:tc>
      </w:tr>
    </w:tbl>
    <w:p/>
    <w:p>
      <w:pPr>
        <w:pStyle w:val="Heading2"/>
      </w:pPr>
      <w:r>
        <w:t>ADR-07　Redis 只做「可降级」的用途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7"/>
        <w:gridCol w:w="7920"/>
      </w:tblGrid>
      <w:tr>
        <w:tc>
          <w:tcPr>
            <w:tcW w:type="dxa" w:w="100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792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背景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nonce 防重放需要 TTL 语义；但 Redis 挂了不能导致打卡失败。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收益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Redis 不可用时降级为进程内 TTL 缓存，功能可用（单实例下语义等价）。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代价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多实例部署时降级会导致防重放失效。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缓解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多实例前必须保证 Redis 高可用；已在已知限制中标注。</w:t>
            </w:r>
          </w:p>
        </w:tc>
      </w:tr>
    </w:tbl>
    <w:p/>
    <w:p>
      <w:pPr>
        <w:pStyle w:val="Heading2"/>
      </w:pPr>
      <w:r>
        <w:t>ADR-08　统一响应体 + 分段错误码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7"/>
        <w:gridCol w:w="7920"/>
      </w:tblGrid>
      <w:tr>
        <w:tc>
          <w:tcPr>
            <w:tcW w:type="dxa" w:w="100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792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背景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前端需要按错误类型决定行为（跳登录 / 提示无权限 / 显示 traceId）。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收益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code=0 成功，4xxxx 客户端，5xxxx 服务端，6xxxx 设备业务；前端映射规则集中。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代价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错误码是自造约定，非 HTTP 标准。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缓解</w:t>
            </w:r>
          </w:p>
        </w:tc>
        <w:tc>
          <w:tcPr>
            <w:tcW w:type="dxa" w:w="792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8"/>
              </w:rPr>
              <w:t>HTTP 状态码同时保持语义（401/403/404/409），便于网关与日志观察。</w:t>
            </w:r>
          </w:p>
        </w:tc>
      </w:tr>
    </w:tbl>
    <w:p/>
    <w:p>
      <w:pPr>
        <w:pStyle w:val="Heading1"/>
      </w:pPr>
      <w:r>
        <w:t>9　编码约定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7200"/>
      </w:tblGrid>
      <w:tr>
        <w:tc>
          <w:tcPr>
            <w:tcW w:type="dxa" w:w="172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约定</w:t>
            </w:r>
          </w:p>
        </w:tc>
        <w:tc>
          <w:tcPr>
            <w:tcW w:type="dxa" w:w="720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做法</w:t>
            </w:r>
          </w:p>
        </w:tc>
      </w:tr>
      <w:tr>
        <w:tc>
          <w:tcPr>
            <w:tcW w:type="dxa" w:w="17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响应体</w:t>
            </w:r>
          </w:p>
        </w:tc>
        <w:tc>
          <w:tcPr>
            <w:tcW w:type="dxa" w:w="72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控制器只返回 ApiResponse&lt;T&gt;，不直接返回实体</w:t>
            </w:r>
          </w:p>
        </w:tc>
      </w:tr>
      <w:tr>
        <w:tc>
          <w:tcPr>
            <w:tcW w:type="dxa" w:w="17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异常</w:t>
            </w:r>
          </w:p>
        </w:tc>
        <w:tc>
          <w:tcPr>
            <w:tcW w:type="dxa" w:w="72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业务失败抛 BizException.of(ErrorCode.X)；不吞异常、不回 null</w:t>
            </w:r>
          </w:p>
        </w:tc>
      </w:tr>
      <w:tr>
        <w:tc>
          <w:tcPr>
            <w:tcW w:type="dxa" w:w="17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权限</w:t>
            </w:r>
          </w:p>
        </w:tc>
        <w:tc>
          <w:tcPr>
            <w:tcW w:type="dxa" w:w="72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写操作必须有 @PreAuthorize；数据范围在 Service 层统一处理</w:t>
            </w:r>
          </w:p>
        </w:tc>
      </w:tr>
      <w:tr>
        <w:tc>
          <w:tcPr>
            <w:tcW w:type="dxa" w:w="17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事务</w:t>
            </w:r>
          </w:p>
        </w:tc>
        <w:tc>
          <w:tcPr>
            <w:tcW w:type="dxa" w:w="72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@Transactional 只标注在 Service 的写方法上</w:t>
            </w:r>
          </w:p>
        </w:tc>
      </w:tr>
      <w:tr>
        <w:tc>
          <w:tcPr>
            <w:tcW w:type="dxa" w:w="17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命名</w:t>
            </w:r>
          </w:p>
        </w:tc>
        <w:tc>
          <w:tcPr>
            <w:tcW w:type="dxa" w:w="72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Controller/Service/Mapper/entity/DTO 后缀固定；DTO 用内部类分域</w:t>
            </w:r>
          </w:p>
        </w:tc>
      </w:tr>
      <w:tr>
        <w:tc>
          <w:tcPr>
            <w:tcW w:type="dxa" w:w="17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日志</w:t>
            </w:r>
          </w:p>
        </w:tc>
        <w:tc>
          <w:tcPr>
            <w:tcW w:type="dxa" w:w="72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关键路径 log.info 带业务标识；异常路径 log.warn 带 traceId（MDC 自动注入）</w:t>
            </w:r>
          </w:p>
        </w:tc>
      </w:tr>
    </w:tbl>
    <w:p/>
    <w:p>
      <w:pPr>
        <w:pStyle w:val="Heading1"/>
      </w:pPr>
      <w:r>
        <w:t>10　已知技术债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456"/>
        <w:gridCol w:w="2447"/>
      </w:tblGrid>
      <w:tr>
        <w:tc>
          <w:tcPr>
            <w:tcW w:type="dxa" w:w="3024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项</w:t>
            </w:r>
          </w:p>
        </w:tc>
        <w:tc>
          <w:tcPr>
            <w:tcW w:type="dxa" w:w="345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影响</w:t>
            </w:r>
          </w:p>
        </w:tc>
        <w:tc>
          <w:tcPr>
            <w:tcW w:type="dxa" w:w="244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建议</w:t>
            </w:r>
          </w:p>
        </w:tc>
      </w:tr>
      <w:tr>
        <w:tc>
          <w:tcPr>
            <w:tcW w:type="dxa" w:w="302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Kanban 权限靠 Service 判断「创建者或 admin」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没有独立权限点，管理端无法按角色配置看板权限</w:t>
            </w:r>
          </w:p>
        </w:tc>
        <w:tc>
          <w:tcPr>
            <w:tcW w:type="dxa" w:w="244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补 kanban:view/manage 权限点 + 迁移</w:t>
            </w:r>
          </w:p>
        </w:tc>
      </w:tr>
      <w:tr>
        <w:tc>
          <w:tcPr>
            <w:tcW w:type="dxa" w:w="302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user.role 单值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一人多岗无法表达</w:t>
            </w:r>
          </w:p>
        </w:tc>
        <w:tc>
          <w:tcPr>
            <w:tcW w:type="dxa" w:w="244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user_role 关联表</w:t>
            </w:r>
          </w:p>
        </w:tc>
      </w:tr>
      <w:tr>
        <w:tc>
          <w:tcPr>
            <w:tcW w:type="dxa" w:w="302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DEPT 不含子部门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经理看不到下属部门数据</w:t>
            </w:r>
          </w:p>
        </w:tc>
        <w:tc>
          <w:tcPr>
            <w:tcW w:type="dxa" w:w="244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递归 CTE 或闭包表</w:t>
            </w:r>
          </w:p>
        </w:tc>
      </w:tr>
      <w:tr>
        <w:tc>
          <w:tcPr>
            <w:tcW w:type="dxa" w:w="302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@Scheduled 无分布式锁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多实例时会重复结算（幂等但不经济）</w:t>
            </w:r>
          </w:p>
        </w:tc>
        <w:tc>
          <w:tcPr>
            <w:tcW w:type="dxa" w:w="244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ShedLock</w:t>
            </w:r>
          </w:p>
        </w:tc>
      </w:tr>
      <w:tr>
        <w:tc>
          <w:tcPr>
            <w:tcW w:type="dxa" w:w="302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无物理外键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直接改库可能产生孤儿数据</w:t>
            </w:r>
          </w:p>
        </w:tc>
        <w:tc>
          <w:tcPr>
            <w:tcW w:type="dxa" w:w="244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只通过应用写入；或加外键到非审计表</w:t>
            </w:r>
          </w:p>
        </w:tc>
      </w:tr>
      <w:tr>
        <w:tc>
          <w:tcPr>
            <w:tcW w:type="dxa" w:w="302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缺勤只补「昨天」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历史缺失需要手工补</w:t>
            </w:r>
          </w:p>
        </w:tc>
        <w:tc>
          <w:tcPr>
            <w:tcW w:type="dxa" w:w="244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补缺勤区间回补接口</w:t>
            </w:r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