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业务需求规格说明书</w:t>
      </w:r>
    </w:p>
    <w:p>
      <w:pPr>
        <w:jc w:val="center"/>
      </w:pPr>
      <w:r>
        <w:rPr>
          <w:b/>
          <w:color w:val="153F6C"/>
          <w:sz w:val="44"/>
        </w:rPr>
        <w:t>900万PDF文档智能解析与两级分类系统</w:t>
      </w:r>
    </w:p>
    <w:p>
      <w:pPr>
        <w:jc w:val="center"/>
      </w:pPr>
      <w:r>
        <w:rPr>
          <w:color w:val="376FA7"/>
          <w:sz w:val="30"/>
        </w:rPr>
        <w:t>分类范围、判定依据、边界规则与验收要求</w:t>
      </w:r>
    </w:p>
    <w:p>
      <w:r>
        <w:t>文档版本：V1.0  |  编制日期：2026年10月  |  文档属性：需求评审稿</w:t>
      </w:r>
    </w:p>
    <w:p>
      <w:r>
        <w:t>适用对象：项目负责人、业务分类专家、产品经理、算法工程师、后端开发与测试人员</w:t>
      </w:r>
    </w:p>
    <w:p>
      <w:r>
        <w:t>说明：一级、二级类别名称按提供的分类截图整理；各类别的业务释义与边界判定为实施建议，正式上线前须由业务主管部门审核确认。</w:t>
      </w:r>
    </w:p>
    <w:p>
      <w:r>
        <w:br w:type="page"/>
      </w:r>
    </w:p>
    <w:p>
      <w:pPr>
        <w:pStyle w:val="Heading1"/>
      </w:pPr>
      <w:r>
        <w:t>一、项目概述</w:t>
      </w:r>
    </w:p>
    <w:p>
      <w:r>
        <w:t>现有约900万份PDF已存放在服务器上。系统以只读方式访问原文件，对文本PDF、扫描PDF、复杂版式PDF及图片型PDF进行自适应解析，依据既有业务目录自动判断相关性和一级、二级类别，形成可追溯分类结果。</w:t>
      </w:r>
    </w:p>
    <w:p>
      <w:pPr>
        <w:pStyle w:val="Heading2"/>
      </w:pPr>
      <w:r>
        <w:t>1.1 建设目标</w:t>
      </w:r>
    </w:p>
    <w:p>
      <w:pPr>
        <w:pStyle w:val="ListBullet"/>
      </w:pPr>
      <w:r>
        <w:t>自动识别文件是否属于指定业务分类体系，不得将无关文件强制归档。</w:t>
      </w:r>
    </w:p>
    <w:p>
      <w:pPr>
        <w:pStyle w:val="ListBullet"/>
      </w:pPr>
      <w:r>
        <w:t>对相关文件先完成一级分类，再在所属一级下完成二级分类。</w:t>
      </w:r>
    </w:p>
    <w:p>
      <w:pPr>
        <w:pStyle w:val="ListBullet"/>
      </w:pPr>
      <w:r>
        <w:t>优先利用标题、章节及原文关键段落形成分类依据，支持无标题和纯图片文档。</w:t>
      </w:r>
    </w:p>
    <w:p>
      <w:pPr>
        <w:pStyle w:val="ListBullet"/>
      </w:pPr>
      <w:r>
        <w:t>低置信度、相邻类别边界冲突和证据不足情况进入大模型裁决或人工复核。</w:t>
      </w:r>
    </w:p>
    <w:p>
      <w:pPr>
        <w:pStyle w:val="ListBullet"/>
      </w:pPr>
      <w:r>
        <w:t>保留原始文件路径、证据片段、模型与规则版本、分数及最终结果，实现审计追溯。</w:t>
      </w:r>
    </w:p>
    <w:p>
      <w:pPr>
        <w:pStyle w:val="Heading2"/>
      </w:pPr>
      <w:r>
        <w:t>1.2 系统边界</w:t>
      </w:r>
    </w:p>
    <w:p>
      <w:r>
        <w:t>本期建设范围为服务器既有PDF的识别和分类；不包含原PDF迁移、重建文件存储、不要求自动改写原PDF。人工复核和分类知识库管理需提供可用的操作入口。</w:t>
      </w:r>
    </w:p>
    <w:p>
      <w:pPr>
        <w:pStyle w:val="Heading2"/>
      </w:pPr>
      <w:r>
        <w:t>1.3 预期交付</w:t>
      </w:r>
    </w:p>
    <w:p>
      <w:r>
        <w:t>交付包括：完整分类知识库、解析与分类服务、任务调度、结果导出与查询、人工复核功能、测试报告、性能Benchmark、部署及运维手册。</w:t>
      </w:r>
    </w:p>
    <w:p>
      <w:pPr>
        <w:pStyle w:val="Heading1"/>
      </w:pPr>
      <w:r>
        <w:t>二、分类目录与数量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</w:trPr>
        <w:tc>
          <w:tcPr>
            <w:tcW w:type="dxa" w:w="3173"/>
            <w:shd w:fill="2367A7"/>
          </w:tcPr>
          <w:p>
            <w:r>
              <w:rPr>
                <w:b/>
                <w:color w:val="FFFFFF"/>
                <w:sz w:val="18"/>
              </w:rPr>
              <w:t>一级分类</w:t>
            </w:r>
          </w:p>
        </w:tc>
        <w:tc>
          <w:tcPr>
            <w:tcW w:type="dxa" w:w="3173"/>
            <w:shd w:fill="2367A7"/>
          </w:tcPr>
          <w:p>
            <w:r>
              <w:rPr>
                <w:b/>
                <w:color w:val="FFFFFF"/>
                <w:sz w:val="18"/>
              </w:rPr>
              <w:t>二级分类数量</w:t>
            </w:r>
          </w:p>
        </w:tc>
        <w:tc>
          <w:tcPr>
            <w:tcW w:type="dxa" w:w="3173"/>
            <w:shd w:fill="2367A7"/>
          </w:tcPr>
          <w:p>
            <w:r>
              <w:rPr>
                <w:b/>
                <w:color w:val="FFFFFF"/>
                <w:sz w:val="18"/>
              </w:rPr>
              <w:t>二级分类</w:t>
            </w:r>
          </w:p>
        </w:tc>
      </w:tr>
      <w:tr>
        <w:trPr>
          <w:cantSplit/>
        </w:trPr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安全生产</w:t>
            </w:r>
          </w:p>
        </w:tc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安全生产综合协调、消防监管、安全生产执法和工贸监管、调查评估和统计、危险化学品监管、石油开采安全监管、矿山监管监察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应急救援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预案管理、救援力量、指挥调度</w:t>
            </w:r>
          </w:p>
        </w:tc>
      </w:tr>
      <w:tr>
        <w:trPr>
          <w:cantSplit/>
        </w:trPr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综合管理</w:t>
            </w:r>
          </w:p>
        </w:tc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9</w:t>
            </w:r>
          </w:p>
        </w:tc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政策法规、综合办公、科技和信息化、规划财务、党建管理、人事管理、国际合作、队伍管理、新闻宣传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防灾减灾救灾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风险监测和综合减灾、森林草原火灾防治、防汛抗旱、地质灾害、防震减灾、救灾和物资保障</w:t>
            </w:r>
          </w:p>
        </w:tc>
      </w:tr>
    </w:tbl>
    <w:p>
      <w:r>
        <w:t>目录规模：4个一级类别、25个二级类别。一级与二级映射固定并可配置维护；必须遵循先一级后所属二级的层级约束。</w:t>
      </w:r>
    </w:p>
    <w:p>
      <w:pPr>
        <w:pStyle w:val="Heading1"/>
      </w:pPr>
      <w:r>
        <w:t>三、核心业务流程</w:t>
      </w:r>
    </w:p>
    <w:p>
      <w:r>
        <w:t>文件扫描/任务生成 → PDF有效性与类型识别 → PyMuPDF/PaddleOCR/MinerU分流解析 → 统一结构化内容 → Evidence Router证据选择 → Relevance Gate相关性判定 → 一级分类 → 一级内二级候选召回与精排 → 证据一致性检查 → 结果保存或人工复核。</w:t>
      </w:r>
    </w:p>
    <w:p>
      <w:pPr>
        <w:pStyle w:val="Heading2"/>
      </w:pPr>
      <w:r>
        <w:t>3.1 证据路由规则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</w:trPr>
        <w:tc>
          <w:tcPr>
            <w:tcW w:type="dxa" w:w="3173"/>
            <w:shd w:fill="2367A7"/>
          </w:tcPr>
          <w:p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173"/>
            <w:shd w:fill="2367A7"/>
          </w:tcPr>
          <w:p>
            <w:r>
              <w:rPr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3173"/>
            <w:shd w:fill="2367A7"/>
          </w:tcPr>
          <w:p>
            <w:r>
              <w:rPr>
                <w:b/>
                <w:color w:val="FFFFFF"/>
                <w:sz w:val="18"/>
              </w:rPr>
              <w:t>用于分类的主要证据</w:t>
            </w:r>
          </w:p>
        </w:tc>
      </w:tr>
      <w:tr>
        <w:trPr>
          <w:cantSplit/>
        </w:trPr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TITLE_MODE</w:t>
            </w:r>
          </w:p>
        </w:tc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存在足够明确且有信息量的主标题/章节标题</w:t>
            </w:r>
          </w:p>
        </w:tc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标题、章节标题；关键正文用于确认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BODY_MODE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缺失标题或标题过于宽泛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主题代表性正文段落与业务对象/动作</w:t>
            </w:r>
          </w:p>
        </w:tc>
      </w:tr>
      <w:tr>
        <w:trPr>
          <w:cantSplit/>
        </w:trPr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OCR_BODY_MODE</w:t>
            </w:r>
          </w:p>
        </w:tc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扫描文档经OCR获得可用文本</w:t>
            </w:r>
          </w:p>
        </w:tc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OCR标题、OCR正文、页码、识别置信度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VISION_MODE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OCR文本极少但图像包含业务信息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视觉模型客观描述+可识别的文字/标识</w:t>
            </w:r>
          </w:p>
        </w:tc>
      </w:tr>
    </w:tbl>
    <w:p>
      <w:r>
        <w:t>禁止把整篇长正文不加筛选地作为唯一输入；也禁止只依赖标题中是否命中关键词。分类证据应保留原文出处（页码/段落）。</w:t>
      </w:r>
    </w:p>
    <w:p>
      <w:pPr>
        <w:pStyle w:val="Heading1"/>
      </w:pPr>
      <w:r>
        <w:t>四、相关性判断（Relevance Gate）</w:t>
      </w:r>
    </w:p>
    <w:p>
      <w:pPr>
        <w:pStyle w:val="Heading2"/>
      </w:pPr>
      <w:r>
        <w:t>4.1 判断目标</w:t>
      </w:r>
    </w:p>
    <w:p>
      <w:r>
        <w:t>先判定文档是否落在上述4个一级、25个二级类别的业务覆盖范围。输出 RELEVANT（相关）、IRRELEVANT（无关）或 UNCERTAIN（无法确定）；UNCERTAIN由受约束的LLM辅助裁决，仍不能确认则进入人工复核。</w:t>
      </w:r>
    </w:p>
    <w:p>
      <w:pPr>
        <w:pStyle w:val="Heading2"/>
      </w:pPr>
      <w:r>
        <w:t>4.2 判断依据</w:t>
      </w:r>
    </w:p>
    <w:p>
      <w:pPr>
        <w:pStyle w:val="ListBullet"/>
      </w:pPr>
      <w:r>
        <w:t>分类语义：证据与整个分类知识库中业务定义、典型对象和业务动作的语义匹配程度。</w:t>
      </w:r>
    </w:p>
    <w:p>
      <w:pPr>
        <w:pStyle w:val="ListBullet"/>
      </w:pPr>
      <w:r>
        <w:t>领域特征：是否出现具有区分度的业务对象及其具体业务动作，不能只凭“通知、工作、管理”等通用词。</w:t>
      </w:r>
    </w:p>
    <w:p>
      <w:pPr>
        <w:pStyle w:val="ListBullet"/>
      </w:pPr>
      <w:r>
        <w:t>主题集中度：匹配信息是否反映文档主要目的，而非正文中的偶然引用或附件内容。</w:t>
      </w:r>
    </w:p>
    <w:p>
      <w:pPr>
        <w:pStyle w:val="ListBullet"/>
      </w:pPr>
      <w:r>
        <w:t>证据质量：标题清晰度、正文可读性、OCR置信度和视觉证据可靠性。</w:t>
      </w:r>
    </w:p>
    <w:p>
      <w:pPr>
        <w:pStyle w:val="ListBullet"/>
      </w:pPr>
      <w:r>
        <w:t>分数校准：查看候选的绝对匹配分及与无关样本的差异；Top1与Top2差距主要反映类别歧义，不能单独作为是否相关的证据。</w:t>
      </w:r>
    </w:p>
    <w:p>
      <w:r>
        <w:t>重要边界：综合管理覆盖较广，“没有安全生产关键词”不等于无关；同样，文件提到一个业务术语也不代表其主旨相关。仅当对全体系的匹配持续低、无明确业务证据且质量充分时，才允许直接判无关。</w:t>
      </w:r>
    </w:p>
    <w:p>
      <w:pPr>
        <w:pStyle w:val="Heading2"/>
      </w:pPr>
      <w:r>
        <w:t>4.3 典型示例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</w:trPr>
        <w:tc>
          <w:tcPr>
            <w:tcW w:type="dxa" w:w="3173"/>
            <w:shd w:fill="2367A7"/>
          </w:tcPr>
          <w:p>
            <w:r>
              <w:rPr>
                <w:b/>
                <w:color w:val="FFFFFF"/>
                <w:sz w:val="18"/>
              </w:rPr>
              <w:t>文档示例</w:t>
            </w:r>
          </w:p>
        </w:tc>
        <w:tc>
          <w:tcPr>
            <w:tcW w:type="dxa" w:w="3173"/>
            <w:shd w:fill="2367A7"/>
          </w:tcPr>
          <w:p>
            <w:r>
              <w:rPr>
                <w:b/>
                <w:color w:val="FFFFFF"/>
                <w:sz w:val="18"/>
              </w:rPr>
              <w:t>预期</w:t>
            </w:r>
          </w:p>
        </w:tc>
        <w:tc>
          <w:tcPr>
            <w:tcW w:type="dxa" w:w="3173"/>
            <w:shd w:fill="2367A7"/>
          </w:tcPr>
          <w:p>
            <w:r>
              <w:rPr>
                <w:b/>
                <w:color w:val="FFFFFF"/>
                <w:sz w:val="18"/>
              </w:rPr>
              <w:t>核心理由</w:t>
            </w:r>
          </w:p>
        </w:tc>
      </w:tr>
      <w:tr>
        <w:trPr>
          <w:cantSplit/>
        </w:trPr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关于开展危险化学品重大危险源检查的通知</w:t>
            </w:r>
          </w:p>
        </w:tc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RELEVANT</w:t>
            </w:r>
          </w:p>
        </w:tc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危化品企业+重大危险源+专项检查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关于应急救援队伍装备管理的通知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RELEVANT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救援力量建设与装备保障</w:t>
            </w:r>
          </w:p>
        </w:tc>
      </w:tr>
      <w:tr>
        <w:trPr>
          <w:cantSplit/>
        </w:trPr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普通房地产楼盘营销宣传册</w:t>
            </w:r>
          </w:p>
        </w:tc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IRRELEVANT（示例）</w:t>
            </w:r>
          </w:p>
        </w:tc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缺乏本体系核心业务目标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一般性采购合同，仅写“物资采购”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UNCERTAIN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需判断是否属于内部规划财务/办公或救灾物资事项</w:t>
            </w:r>
          </w:p>
        </w:tc>
      </w:tr>
    </w:tbl>
    <w:p>
      <w:pPr>
        <w:pStyle w:val="Heading1"/>
      </w:pPr>
      <w:r>
        <w:t>五、一级分类判定</w:t>
      </w:r>
    </w:p>
    <w:p>
      <w:r>
        <w:t>一级分类以“文件主要解决什么业务问题”为准，核心依据是文档主旨、主要业务对象、主导业务动作、所属一级定义及原文证据；不得凭单个名词出现次数判断。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</w:trPr>
        <w:tc>
          <w:tcPr>
            <w:tcW w:type="dxa" w:w="3173"/>
            <w:shd w:fill="2367A7"/>
          </w:tcPr>
          <w:p>
            <w:r>
              <w:rPr>
                <w:b/>
                <w:color w:val="FFFFFF"/>
                <w:sz w:val="18"/>
              </w:rPr>
              <w:t>一级类别</w:t>
            </w:r>
          </w:p>
        </w:tc>
        <w:tc>
          <w:tcPr>
            <w:tcW w:type="dxa" w:w="3173"/>
            <w:shd w:fill="2367A7"/>
          </w:tcPr>
          <w:p>
            <w:r>
              <w:rPr>
                <w:b/>
                <w:color w:val="FFFFFF"/>
                <w:sz w:val="18"/>
              </w:rPr>
              <w:t>优先识别的核心目的</w:t>
            </w:r>
          </w:p>
        </w:tc>
        <w:tc>
          <w:tcPr>
            <w:tcW w:type="dxa" w:w="3173"/>
            <w:shd w:fill="2367A7"/>
          </w:tcPr>
          <w:p>
            <w:r>
              <w:rPr>
                <w:b/>
                <w:color w:val="FFFFFF"/>
                <w:sz w:val="18"/>
              </w:rPr>
              <w:t>容易混淆点</w:t>
            </w:r>
          </w:p>
        </w:tc>
      </w:tr>
      <w:tr>
        <w:trPr>
          <w:cantSplit/>
        </w:trPr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安全生产</w:t>
            </w:r>
          </w:p>
        </w:tc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事前安全监管、行业监管、企业检查、执法、事故调查统计</w:t>
            </w:r>
          </w:p>
        </w:tc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“事故”一词不必然属于救援；需区分预防监管与救援处置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应急救援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预案、救援队伍、突发事件响应、指挥调度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与安全监管、灾害防治工作区分</w:t>
            </w:r>
          </w:p>
        </w:tc>
      </w:tr>
      <w:tr>
        <w:trPr>
          <w:cantSplit/>
        </w:trPr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综合管理</w:t>
            </w:r>
          </w:p>
        </w:tc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机关政策制度、行政办公、人事财务、科技、党建、宣传等</w:t>
            </w:r>
          </w:p>
        </w:tc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不能兜底接收全部非业务文件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防灾减灾救灾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自然灾害监测、防范、减灾、受灾救助与物资保障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与事故应急调度和消防监管区分</w:t>
            </w:r>
          </w:p>
        </w:tc>
      </w:tr>
    </w:tbl>
    <w:p>
      <w:pPr>
        <w:pStyle w:val="Heading2"/>
      </w:pPr>
      <w:r>
        <w:t>5.1 算法与裁决</w:t>
      </w:r>
    </w:p>
    <w:p>
      <w:r>
        <w:t>规则识别对象/动作并提示候选 → BGE-M3匹配4个一级类的业务定义 → 得分清晰且证据一致时直接接受 → 候选接近或主旨冲突时LLM只在候选一级范围内裁决 → 无法裁决则复核。阈值以标注测试集校准，不能将示例模型分数当作固定概率。</w:t>
      </w:r>
    </w:p>
    <w:p>
      <w:pPr>
        <w:pStyle w:val="Heading1"/>
      </w:pPr>
      <w:r>
        <w:t>六、二级分类判定</w:t>
      </w:r>
    </w:p>
    <w:p>
      <w:r>
        <w:t>二级分类仅在已经确定的一级类别子集内进行。BGE-M3根据二级类别定义、对象、动作、边界与典型案例召回Top5；Cross-Encoder Reranker对候选精排；明确领先且文本一致则直接接受，接近/冲突时将Top3及证据交给LLM选择或返回UNCERTAIN。</w:t>
      </w:r>
    </w:p>
    <w:p>
      <w:pPr>
        <w:pStyle w:val="Heading2"/>
      </w:pPr>
      <w:r>
        <w:t>6.1 二级分类业务知识表</w:t>
      </w:r>
    </w:p>
    <w:p>
      <w:pPr>
        <w:pStyle w:val="Heading2"/>
      </w:pPr>
      <w:r>
        <w:t>6.2 安全生产——二级类别定义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rPr>
          <w:cantSplit/>
        </w:trPr>
        <w:tc>
          <w:tcPr>
            <w:tcW w:type="dxa" w:w="2380"/>
            <w:shd w:fill="2367A7"/>
          </w:tcPr>
          <w:p>
            <w:r>
              <w:rPr>
                <w:b/>
                <w:color w:val="FFFFFF"/>
                <w:sz w:val="18"/>
              </w:rPr>
              <w:t>二级类别</w:t>
            </w:r>
          </w:p>
        </w:tc>
        <w:tc>
          <w:tcPr>
            <w:tcW w:type="dxa" w:w="2380"/>
            <w:shd w:fill="2367A7"/>
          </w:tcPr>
          <w:p>
            <w:r>
              <w:rPr>
                <w:b/>
                <w:color w:val="FFFFFF"/>
                <w:sz w:val="18"/>
              </w:rPr>
              <w:t>核心对象</w:t>
            </w:r>
          </w:p>
        </w:tc>
        <w:tc>
          <w:tcPr>
            <w:tcW w:type="dxa" w:w="2380"/>
            <w:shd w:fill="2367A7"/>
          </w:tcPr>
          <w:p>
            <w:r>
              <w:rPr>
                <w:b/>
                <w:color w:val="FFFFFF"/>
                <w:sz w:val="18"/>
              </w:rPr>
              <w:t>核心动作</w:t>
            </w:r>
          </w:p>
        </w:tc>
        <w:tc>
          <w:tcPr>
            <w:tcW w:type="dxa" w:w="2380"/>
            <w:shd w:fill="2367A7"/>
          </w:tcPr>
          <w:p>
            <w:r>
              <w:rPr>
                <w:b/>
                <w:color w:val="FFFFFF"/>
                <w:sz w:val="18"/>
              </w:rPr>
              <w:t>排除与易混淆边界</w:t>
            </w:r>
          </w:p>
        </w:tc>
      </w:tr>
      <w:tr>
        <w:trPr>
          <w:cantSplit/>
        </w:trPr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安全生产综合协调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跨部门/跨行业安全生产工作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统筹部署、协调督导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不把明确专门行业监管都归为综合协调</w:t>
            </w:r>
          </w:p>
        </w:tc>
      </w:tr>
      <w:tr>
        <w:trPr>
          <w:cantSplit/>
        </w:trPr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消防监管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建筑/场所消防安全、消防设施、火灾隐患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消防监督、检查、整改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区分森林草原火灾防治和一般企业消防</w:t>
            </w:r>
          </w:p>
        </w:tc>
      </w:tr>
      <w:tr>
        <w:trPr>
          <w:cantSplit/>
        </w:trPr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安全生产执法和工贸监管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工贸企业、综合安全执法对象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执法检查、行政处罚、工贸监管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专业危化、石油、矿山事项优先依据职责边界</w:t>
            </w:r>
          </w:p>
        </w:tc>
      </w:tr>
      <w:tr>
        <w:trPr>
          <w:cantSplit/>
        </w:trPr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调查评估和统计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生产安全事故及其统计数据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事故调查、责任评估、统计分析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区分事故发生时的实时指挥救援</w:t>
            </w:r>
          </w:p>
        </w:tc>
      </w:tr>
      <w:tr>
        <w:trPr>
          <w:cantSplit/>
        </w:trPr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危险化学品监管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危化品企业、化工装置、重大危险源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许可、检查、隐患排查、监管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“危化品事故救援”应按主目的重新判断</w:t>
            </w:r>
          </w:p>
        </w:tc>
      </w:tr>
      <w:tr>
        <w:trPr>
          <w:cantSplit/>
        </w:trPr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石油开采安全监管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油气开采企业、油气田及开采设施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开采安全监管、作业检查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区分一般石化危化品生产/储存</w:t>
            </w:r>
          </w:p>
        </w:tc>
      </w:tr>
      <w:tr>
        <w:trPr>
          <w:cantSplit/>
        </w:trPr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矿山监管监察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煤矿、非煤矿山、尾矿库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矿山安全监察、治理整顿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与自然地质灾害监测区分</w:t>
            </w:r>
          </w:p>
        </w:tc>
      </w:tr>
    </w:tbl>
    <w:p>
      <w:pPr>
        <w:pStyle w:val="Heading2"/>
      </w:pPr>
      <w:r>
        <w:t>6.2 应急救援——二级类别定义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rPr>
          <w:cantSplit/>
        </w:trPr>
        <w:tc>
          <w:tcPr>
            <w:tcW w:type="dxa" w:w="2380"/>
            <w:shd w:fill="2367A7"/>
          </w:tcPr>
          <w:p>
            <w:r>
              <w:rPr>
                <w:b/>
                <w:color w:val="FFFFFF"/>
                <w:sz w:val="18"/>
              </w:rPr>
              <w:t>二级类别</w:t>
            </w:r>
          </w:p>
        </w:tc>
        <w:tc>
          <w:tcPr>
            <w:tcW w:type="dxa" w:w="2380"/>
            <w:shd w:fill="2367A7"/>
          </w:tcPr>
          <w:p>
            <w:r>
              <w:rPr>
                <w:b/>
                <w:color w:val="FFFFFF"/>
                <w:sz w:val="18"/>
              </w:rPr>
              <w:t>核心对象</w:t>
            </w:r>
          </w:p>
        </w:tc>
        <w:tc>
          <w:tcPr>
            <w:tcW w:type="dxa" w:w="2380"/>
            <w:shd w:fill="2367A7"/>
          </w:tcPr>
          <w:p>
            <w:r>
              <w:rPr>
                <w:b/>
                <w:color w:val="FFFFFF"/>
                <w:sz w:val="18"/>
              </w:rPr>
              <w:t>核心动作</w:t>
            </w:r>
          </w:p>
        </w:tc>
        <w:tc>
          <w:tcPr>
            <w:tcW w:type="dxa" w:w="2380"/>
            <w:shd w:fill="2367A7"/>
          </w:tcPr>
          <w:p>
            <w:r>
              <w:rPr>
                <w:b/>
                <w:color w:val="FFFFFF"/>
                <w:sz w:val="18"/>
              </w:rPr>
              <w:t>排除与易混淆边界</w:t>
            </w:r>
          </w:p>
        </w:tc>
      </w:tr>
      <w:tr>
        <w:trPr>
          <w:cantSplit/>
        </w:trPr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预案管理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应急预案、预案体系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编制、修订、备案、演练计划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实际演练/响应的主目的须甄别</w:t>
            </w:r>
          </w:p>
        </w:tc>
      </w:tr>
      <w:tr>
        <w:trPr>
          <w:cantSplit/>
        </w:trPr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救援力量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应急救援队伍、专业人员与装备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队伍建设、训练、能力提升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与内部机关队伍管理区分</w:t>
            </w:r>
          </w:p>
        </w:tc>
      </w:tr>
      <w:tr>
        <w:trPr>
          <w:cantSplit/>
        </w:trPr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指挥调度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突发事件、现场救援行动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响应启动、任务调度、协同处置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与防灾监测、常态预案管理区分</w:t>
            </w:r>
          </w:p>
        </w:tc>
      </w:tr>
    </w:tbl>
    <w:p>
      <w:pPr>
        <w:pStyle w:val="Heading2"/>
      </w:pPr>
      <w:r>
        <w:t>6.2 综合管理——二级类别定义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rPr>
          <w:cantSplit/>
        </w:trPr>
        <w:tc>
          <w:tcPr>
            <w:tcW w:type="dxa" w:w="2380"/>
            <w:shd w:fill="2367A7"/>
          </w:tcPr>
          <w:p>
            <w:r>
              <w:rPr>
                <w:b/>
                <w:color w:val="FFFFFF"/>
                <w:sz w:val="18"/>
              </w:rPr>
              <w:t>二级类别</w:t>
            </w:r>
          </w:p>
        </w:tc>
        <w:tc>
          <w:tcPr>
            <w:tcW w:type="dxa" w:w="2380"/>
            <w:shd w:fill="2367A7"/>
          </w:tcPr>
          <w:p>
            <w:r>
              <w:rPr>
                <w:b/>
                <w:color w:val="FFFFFF"/>
                <w:sz w:val="18"/>
              </w:rPr>
              <w:t>核心对象</w:t>
            </w:r>
          </w:p>
        </w:tc>
        <w:tc>
          <w:tcPr>
            <w:tcW w:type="dxa" w:w="2380"/>
            <w:shd w:fill="2367A7"/>
          </w:tcPr>
          <w:p>
            <w:r>
              <w:rPr>
                <w:b/>
                <w:color w:val="FFFFFF"/>
                <w:sz w:val="18"/>
              </w:rPr>
              <w:t>核心动作</w:t>
            </w:r>
          </w:p>
        </w:tc>
        <w:tc>
          <w:tcPr>
            <w:tcW w:type="dxa" w:w="2380"/>
            <w:shd w:fill="2367A7"/>
          </w:tcPr>
          <w:p>
            <w:r>
              <w:rPr>
                <w:b/>
                <w:color w:val="FFFFFF"/>
                <w:sz w:val="18"/>
              </w:rPr>
              <w:t>排除与易混淆边界</w:t>
            </w:r>
          </w:p>
        </w:tc>
      </w:tr>
      <w:tr>
        <w:trPr>
          <w:cantSplit/>
        </w:trPr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政策法规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法律规范、政策制度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制定、解释、法制审核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专业监管政策须看文档主导目的</w:t>
            </w:r>
          </w:p>
        </w:tc>
      </w:tr>
      <w:tr>
        <w:trPr>
          <w:cantSplit/>
        </w:trPr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综合办公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机关公文会议、后勤行政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办文办会、督办、后勤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不把全部“通知/会议纪要”放此类</w:t>
            </w:r>
          </w:p>
        </w:tc>
      </w:tr>
      <w:tr>
        <w:trPr>
          <w:cantSplit/>
        </w:trPr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科技和信息化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信息系统、数据平台、科研项目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信息化建设、技术管理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区分具体救援指挥业务系统的业务主旨</w:t>
            </w:r>
          </w:p>
        </w:tc>
      </w:tr>
      <w:tr>
        <w:trPr>
          <w:cantSplit/>
        </w:trPr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规划财务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预算、经费、财务项目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规划、拨款、核算、财务管理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区分救灾物资调拨的具体救助目的</w:t>
            </w:r>
          </w:p>
        </w:tc>
      </w:tr>
      <w:tr>
        <w:trPr>
          <w:cantSplit/>
        </w:trPr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党建管理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党组织、党员、党建活动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组织建设、党员教育、廉政建设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区分一般人事任免</w:t>
            </w:r>
          </w:p>
        </w:tc>
      </w:tr>
      <w:tr>
        <w:trPr>
          <w:cantSplit/>
        </w:trPr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人事管理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岗位、招聘、任免、薪酬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聘用、考核、职称、人事事务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与队伍建设、能力管理区分</w:t>
            </w:r>
          </w:p>
        </w:tc>
      </w:tr>
      <w:tr>
        <w:trPr>
          <w:cantSplit/>
        </w:trPr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国际合作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国外机构、跨境项目、外事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国际交流、合作、外事管理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关注业务是否真正以国际合作为主</w:t>
            </w:r>
          </w:p>
        </w:tc>
      </w:tr>
      <w:tr>
        <w:trPr>
          <w:cantSplit/>
        </w:trPr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队伍管理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机关干部队伍、内部组织队伍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队伍建设、培训、管理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区分应急救援专业力量建设</w:t>
            </w:r>
          </w:p>
        </w:tc>
      </w:tr>
      <w:tr>
        <w:trPr>
          <w:cantSplit/>
        </w:trPr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新闻宣传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媒体、新闻发布、宣传项目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宣传报道、新闻发布、舆情处置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专业事项的宣传稿须按主目的判断</w:t>
            </w:r>
          </w:p>
        </w:tc>
      </w:tr>
    </w:tbl>
    <w:p>
      <w:pPr>
        <w:pStyle w:val="Heading2"/>
      </w:pPr>
      <w:r>
        <w:t>6.2 防灾减灾救灾——二级类别定义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rPr>
          <w:cantSplit/>
        </w:trPr>
        <w:tc>
          <w:tcPr>
            <w:tcW w:type="dxa" w:w="2380"/>
            <w:shd w:fill="2367A7"/>
          </w:tcPr>
          <w:p>
            <w:r>
              <w:rPr>
                <w:b/>
                <w:color w:val="FFFFFF"/>
                <w:sz w:val="18"/>
              </w:rPr>
              <w:t>二级类别</w:t>
            </w:r>
          </w:p>
        </w:tc>
        <w:tc>
          <w:tcPr>
            <w:tcW w:type="dxa" w:w="2380"/>
            <w:shd w:fill="2367A7"/>
          </w:tcPr>
          <w:p>
            <w:r>
              <w:rPr>
                <w:b/>
                <w:color w:val="FFFFFF"/>
                <w:sz w:val="18"/>
              </w:rPr>
              <w:t>核心对象</w:t>
            </w:r>
          </w:p>
        </w:tc>
        <w:tc>
          <w:tcPr>
            <w:tcW w:type="dxa" w:w="2380"/>
            <w:shd w:fill="2367A7"/>
          </w:tcPr>
          <w:p>
            <w:r>
              <w:rPr>
                <w:b/>
                <w:color w:val="FFFFFF"/>
                <w:sz w:val="18"/>
              </w:rPr>
              <w:t>核心动作</w:t>
            </w:r>
          </w:p>
        </w:tc>
        <w:tc>
          <w:tcPr>
            <w:tcW w:type="dxa" w:w="2380"/>
            <w:shd w:fill="2367A7"/>
          </w:tcPr>
          <w:p>
            <w:r>
              <w:rPr>
                <w:b/>
                <w:color w:val="FFFFFF"/>
                <w:sz w:val="18"/>
              </w:rPr>
              <w:t>排除与易混淆边界</w:t>
            </w:r>
          </w:p>
        </w:tc>
      </w:tr>
      <w:tr>
        <w:trPr>
          <w:cantSplit/>
        </w:trPr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风险监测和综合减灾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自然灾害风险、综合风险普查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监测、预警、综合减灾评估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区分针对某一灾种的专业防治</w:t>
            </w:r>
          </w:p>
        </w:tc>
      </w:tr>
      <w:tr>
        <w:trPr>
          <w:cantSplit/>
        </w:trPr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森林草原火灾防治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林地、草原、火险区域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火险预警、火灾防治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与建筑消防监管区分</w:t>
            </w:r>
          </w:p>
        </w:tc>
      </w:tr>
      <w:tr>
        <w:trPr>
          <w:cantSplit/>
        </w:trPr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防汛抗旱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江河汛情、干旱、暴雨洪水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防汛、抗旱、风险防范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实际救援现场指挥须看职责与主旨</w:t>
            </w:r>
          </w:p>
        </w:tc>
      </w:tr>
      <w:tr>
        <w:trPr>
          <w:cantSplit/>
        </w:trPr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地质灾害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滑坡、泥石流、崩塌、地面塌陷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监测、防治、治理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与矿山生产安全检查区分</w:t>
            </w:r>
          </w:p>
        </w:tc>
      </w:tr>
      <w:tr>
        <w:trPr>
          <w:cantSplit/>
        </w:trPr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防震减灾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地震、地震监测系统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震情监测、抗震设防、防震科普</w:t>
            </w:r>
          </w:p>
        </w:tc>
        <w:tc>
          <w:tcPr>
            <w:tcW w:type="dxa" w:w="2380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灾后物资生活救助可能属于救灾保障</w:t>
            </w:r>
          </w:p>
        </w:tc>
      </w:tr>
      <w:tr>
        <w:trPr>
          <w:cantSplit/>
        </w:trPr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救灾和物资保障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受灾群众、救灾物资资金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救助、物资调拨、生活安置</w:t>
            </w:r>
          </w:p>
        </w:tc>
        <w:tc>
          <w:tcPr>
            <w:tcW w:type="dxa" w:w="2380"/>
            <w:vAlign w:val="center"/>
          </w:tcPr>
          <w:p>
            <w:pPr>
              <w:spacing w:after="40"/>
            </w:pPr>
            <w:r>
              <w:rPr>
                <w:sz w:val="17"/>
              </w:rPr>
              <w:t>与机关一般采购/财务区分</w:t>
            </w:r>
          </w:p>
        </w:tc>
      </w:tr>
    </w:tbl>
    <w:p>
      <w:r>
        <w:t>上述内容为候选定义草案：涉及对象优先、职能优先、灾种与救援边界的冲突规则，应在业务专家评审后作为正式分类依据；未经确认不得作为绝对规则写死。</w:t>
      </w:r>
    </w:p>
    <w:p>
      <w:pPr>
        <w:pStyle w:val="Heading1"/>
      </w:pPr>
      <w:r>
        <w:t>七、重点边界冲突与处理原则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</w:trPr>
        <w:tc>
          <w:tcPr>
            <w:tcW w:type="dxa" w:w="3173"/>
            <w:shd w:fill="2367A7"/>
          </w:tcPr>
          <w:p>
            <w:r>
              <w:rPr>
                <w:b/>
                <w:color w:val="FFFFFF"/>
                <w:sz w:val="18"/>
              </w:rPr>
              <w:t>易混类别</w:t>
            </w:r>
          </w:p>
        </w:tc>
        <w:tc>
          <w:tcPr>
            <w:tcW w:type="dxa" w:w="3173"/>
            <w:shd w:fill="2367A7"/>
          </w:tcPr>
          <w:p>
            <w:r>
              <w:rPr>
                <w:b/>
                <w:color w:val="FFFFFF"/>
                <w:sz w:val="18"/>
              </w:rPr>
              <w:t>冲突样例</w:t>
            </w:r>
          </w:p>
        </w:tc>
        <w:tc>
          <w:tcPr>
            <w:tcW w:type="dxa" w:w="3173"/>
            <w:shd w:fill="2367A7"/>
          </w:tcPr>
          <w:p>
            <w:r>
              <w:rPr>
                <w:b/>
                <w:color w:val="FFFFFF"/>
                <w:sz w:val="18"/>
              </w:rPr>
              <w:t>推荐判定方法</w:t>
            </w:r>
          </w:p>
        </w:tc>
      </w:tr>
      <w:tr>
        <w:trPr>
          <w:cantSplit/>
        </w:trPr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危化品监管 / 安全生产执法和工贸监管</w:t>
            </w:r>
          </w:p>
        </w:tc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危险化学品企业专项执法检查</w:t>
            </w:r>
          </w:p>
        </w:tc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判断主管职能、专业对象及文档主目的；需业务确认对象优先还是执法职能优先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安全生产 / 应急救援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煤矿事故应急处置通知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事故前监管防范偏安全生产；事故中救援调度偏应急救援</w:t>
            </w:r>
          </w:p>
        </w:tc>
      </w:tr>
      <w:tr>
        <w:trPr>
          <w:cantSplit/>
        </w:trPr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消防监管 / 森林草原火灾防治</w:t>
            </w:r>
          </w:p>
        </w:tc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森林防火巡查通知</w:t>
            </w:r>
          </w:p>
        </w:tc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按森林草原这一自然灾害对象，不因“防火”词归消防监管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救援力量 / 队伍管理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应急专业救援队伍培训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救援队伍能力建设优先救援力量；机关干部行政队伍归综合管理</w:t>
            </w:r>
          </w:p>
        </w:tc>
      </w:tr>
      <w:tr>
        <w:trPr>
          <w:cantSplit/>
        </w:trPr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规划财务 / 救灾和物资保障</w:t>
            </w:r>
          </w:p>
        </w:tc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受灾群众生活物资紧急调拨</w:t>
            </w:r>
          </w:p>
        </w:tc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救助任务和物资保障为主则偏救灾；预算报销制度为主则偏规划财务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综合办公 / 其他业务类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专项检查会议通知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文种不能决定类别，以会议解决的核心业务为准</w:t>
            </w:r>
          </w:p>
        </w:tc>
      </w:tr>
    </w:tbl>
    <w:p>
      <w:pPr>
        <w:pStyle w:val="Heading1"/>
      </w:pPr>
      <w:r>
        <w:t>八、异常、边界和人工复核需求</w:t>
      </w:r>
    </w:p>
    <w:p>
      <w:pPr>
        <w:pStyle w:val="ListBullet"/>
      </w:pPr>
      <w:r>
        <w:t>无关文件：必须能够输出IRRELEVANT，不能把综合管理作为所有未知文件的兜底类别。</w:t>
      </w:r>
    </w:p>
    <w:p>
      <w:pPr>
        <w:pStyle w:val="ListBullet"/>
      </w:pPr>
      <w:r>
        <w:t>多主题文档：以唯一主责事项确定单标签；无法判断主责事项则人工复核。若实际需要多标签，应另立需求。</w:t>
      </w:r>
    </w:p>
    <w:p>
      <w:pPr>
        <w:pStyle w:val="ListBullet"/>
      </w:pPr>
      <w:r>
        <w:t>无标题/泛标题：改用正文段落，不因缺标题直接失败。</w:t>
      </w:r>
    </w:p>
    <w:p>
      <w:pPr>
        <w:pStyle w:val="ListBullet"/>
      </w:pPr>
      <w:r>
        <w:t>纯图片：OCR不足时使用视觉理解，降低自动接收力度；视觉证据不足则人工复核。</w:t>
      </w:r>
    </w:p>
    <w:p>
      <w:pPr>
        <w:pStyle w:val="ListBullet"/>
      </w:pPr>
      <w:r>
        <w:t>OCR质量低、文件损坏、加密不可读：按可重试异常和不可恢复异常区分，终态为FAILED或MANUAL_REVIEW。</w:t>
      </w:r>
    </w:p>
    <w:p>
      <w:pPr>
        <w:pStyle w:val="ListBullet"/>
      </w:pPr>
      <w:r>
        <w:t>题文冲突：不能只按标题归档；对冲突重新获取证据并判定，必要时人工复核。</w:t>
      </w:r>
    </w:p>
    <w:p>
      <w:pPr>
        <w:pStyle w:val="Heading1"/>
      </w:pPr>
      <w:r>
        <w:t>九、结果数据要求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cantSplit/>
        </w:trPr>
        <w:tc>
          <w:tcPr>
            <w:tcW w:type="dxa" w:w="4759"/>
            <w:shd w:fill="2367A7"/>
          </w:tcPr>
          <w:p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759"/>
            <w:shd w:fill="2367A7"/>
          </w:tcPr>
          <w:p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4759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file_path / file_hash</w:t>
            </w:r>
          </w:p>
        </w:tc>
        <w:tc>
          <w:tcPr>
            <w:tcW w:type="dxa" w:w="4759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现有文件地址、可选校验指纹</w:t>
            </w:r>
          </w:p>
        </w:tc>
      </w:tr>
      <w:tr>
        <w:trPr>
          <w:cantSplit/>
        </w:trP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7"/>
              </w:rPr>
              <w:t>result_type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7"/>
              </w:rPr>
              <w:t>CLASSIFIED / IRRELEVANT / MANUAL_REVIEW / FAILED</w:t>
            </w:r>
          </w:p>
        </w:tc>
      </w:tr>
      <w:tr>
        <w:trPr>
          <w:cantSplit/>
        </w:trPr>
        <w:tc>
          <w:tcPr>
            <w:tcW w:type="dxa" w:w="4759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relevance_status</w:t>
            </w:r>
          </w:p>
        </w:tc>
        <w:tc>
          <w:tcPr>
            <w:tcW w:type="dxa" w:w="4759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RELEVANT / IRRELEVANT / UNCERTAIN</w:t>
            </w:r>
          </w:p>
        </w:tc>
      </w:tr>
      <w:tr>
        <w:trPr>
          <w:cantSplit/>
        </w:trP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7"/>
              </w:rPr>
              <w:t>evidence_mode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7"/>
              </w:rPr>
              <w:t>TITLE / BODY / OCR_BODY / VISION</w:t>
            </w:r>
          </w:p>
        </w:tc>
      </w:tr>
      <w:tr>
        <w:trPr>
          <w:cantSplit/>
        </w:trPr>
        <w:tc>
          <w:tcPr>
            <w:tcW w:type="dxa" w:w="4759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level1 / level2</w:t>
            </w:r>
          </w:p>
        </w:tc>
        <w:tc>
          <w:tcPr>
            <w:tcW w:type="dxa" w:w="4759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一级与二级类别；非已分类状态可为空</w:t>
            </w:r>
          </w:p>
        </w:tc>
      </w:tr>
      <w:tr>
        <w:trPr>
          <w:cantSplit/>
        </w:trP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7"/>
              </w:rPr>
              <w:t>candidate_scores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7"/>
              </w:rPr>
              <w:t>相关性、一级、二级召回与Reranker原始得分/排序</w:t>
            </w:r>
          </w:p>
        </w:tc>
      </w:tr>
      <w:tr>
        <w:trPr>
          <w:cantSplit/>
        </w:trPr>
        <w:tc>
          <w:tcPr>
            <w:tcW w:type="dxa" w:w="4759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decision_source</w:t>
            </w:r>
          </w:p>
        </w:tc>
        <w:tc>
          <w:tcPr>
            <w:tcW w:type="dxa" w:w="4759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规则/BGE/Reranker/LLM/人工的实际决策来源</w:t>
            </w:r>
          </w:p>
        </w:tc>
      </w:tr>
      <w:tr>
        <w:trPr>
          <w:cantSplit/>
        </w:trP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7"/>
              </w:rPr>
              <w:t>classification_basis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7"/>
              </w:rPr>
              <w:t>能追溯到页码的原始证据及推断摘要</w:t>
            </w:r>
          </w:p>
        </w:tc>
      </w:tr>
      <w:tr>
        <w:trPr>
          <w:cantSplit/>
        </w:trPr>
        <w:tc>
          <w:tcPr>
            <w:tcW w:type="dxa" w:w="4759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model_version / taxonomy_version</w:t>
            </w:r>
          </w:p>
        </w:tc>
        <w:tc>
          <w:tcPr>
            <w:tcW w:type="dxa" w:w="4759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模型、提示词和分类知识库版本</w:t>
            </w:r>
          </w:p>
        </w:tc>
      </w:tr>
      <w:tr>
        <w:trPr>
          <w:cantSplit/>
        </w:trP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7"/>
              </w:rPr>
              <w:t>task_status / retry_count / error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7"/>
              </w:rPr>
              <w:t>任务运行、重试及错误信息</w:t>
            </w:r>
          </w:p>
        </w:tc>
      </w:tr>
    </w:tbl>
    <w:p>
      <w:pPr>
        <w:pStyle w:val="Heading1"/>
      </w:pPr>
      <w:r>
        <w:t>十、验收与测试要求</w:t>
      </w:r>
    </w:p>
    <w:p>
      <w:r>
        <w:t>验收使用独立人工标注的代表性测试集，必须包含普通文本、扫描、复杂版式、无标题、纯图、无关及边界冲突文件。分类效果不得仅在能自动分类的简单样本上统计。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cantSplit/>
        </w:trPr>
        <w:tc>
          <w:tcPr>
            <w:tcW w:type="dxa" w:w="4759"/>
            <w:shd w:fill="2367A7"/>
          </w:tcPr>
          <w:p>
            <w:r>
              <w:rPr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4759"/>
            <w:shd w:fill="2367A7"/>
          </w:tcPr>
          <w:p>
            <w:r>
              <w:rPr>
                <w:b/>
                <w:color w:val="FFFFFF"/>
                <w:sz w:val="18"/>
              </w:rPr>
              <w:t>测试关注点</w:t>
            </w:r>
          </w:p>
        </w:tc>
      </w:tr>
      <w:tr>
        <w:trPr>
          <w:cantSplit/>
        </w:trPr>
        <w:tc>
          <w:tcPr>
            <w:tcW w:type="dxa" w:w="4759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目录完整性</w:t>
            </w:r>
          </w:p>
        </w:tc>
        <w:tc>
          <w:tcPr>
            <w:tcW w:type="dxa" w:w="4759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4个一级、25个二级类别齐全；父子映射正确</w:t>
            </w:r>
          </w:p>
        </w:tc>
      </w:tr>
      <w:tr>
        <w:trPr>
          <w:cantSplit/>
        </w:trP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7"/>
              </w:rPr>
              <w:t>相关性识别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7"/>
              </w:rPr>
              <w:t>无关文档误判为相关、相关文档错拒绝率分别统计</w:t>
            </w:r>
          </w:p>
        </w:tc>
      </w:tr>
      <w:tr>
        <w:trPr>
          <w:cantSplit/>
        </w:trPr>
        <w:tc>
          <w:tcPr>
            <w:tcW w:type="dxa" w:w="4759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一级分类</w:t>
            </w:r>
          </w:p>
        </w:tc>
        <w:tc>
          <w:tcPr>
            <w:tcW w:type="dxa" w:w="4759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相关文档一级类别正确率</w:t>
            </w:r>
          </w:p>
        </w:tc>
      </w:tr>
      <w:tr>
        <w:trPr>
          <w:cantSplit/>
        </w:trP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7"/>
              </w:rPr>
              <w:t>二级分类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7"/>
              </w:rPr>
              <w:t>已完成一级和全流程端到端二级正确率分别统计</w:t>
            </w:r>
          </w:p>
        </w:tc>
      </w:tr>
      <w:tr>
        <w:trPr>
          <w:cantSplit/>
        </w:trPr>
        <w:tc>
          <w:tcPr>
            <w:tcW w:type="dxa" w:w="4759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自动接受质量</w:t>
            </w:r>
          </w:p>
        </w:tc>
        <w:tc>
          <w:tcPr>
            <w:tcW w:type="dxa" w:w="4759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高置信自动归档精确率与覆盖率同时统计</w:t>
            </w:r>
          </w:p>
        </w:tc>
      </w:tr>
      <w:tr>
        <w:trPr>
          <w:cantSplit/>
        </w:trP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7"/>
              </w:rPr>
              <w:t>人工复核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7"/>
              </w:rPr>
              <w:t>低置信/冲突文件可流转、可修正并反馈知识库</w:t>
            </w:r>
          </w:p>
        </w:tc>
      </w:tr>
      <w:tr>
        <w:trPr>
          <w:cantSplit/>
        </w:trPr>
        <w:tc>
          <w:tcPr>
            <w:tcW w:type="dxa" w:w="4759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证据追溯</w:t>
            </w:r>
          </w:p>
        </w:tc>
        <w:tc>
          <w:tcPr>
            <w:tcW w:type="dxa" w:w="4759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每个已分类结果可展示标题/原文段落与页码</w:t>
            </w:r>
          </w:p>
        </w:tc>
      </w:tr>
      <w:tr>
        <w:trPr>
          <w:cantSplit/>
        </w:trPr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7"/>
              </w:rPr>
              <w:t>稳定性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>
              <w:rPr>
                <w:sz w:val="17"/>
              </w:rPr>
              <w:t>损坏PDF隔离、重试、断点续跑、重复任务幂等</w:t>
            </w:r>
          </w:p>
        </w:tc>
      </w:tr>
      <w:tr>
        <w:trPr>
          <w:cantSplit/>
        </w:trPr>
        <w:tc>
          <w:tcPr>
            <w:tcW w:type="dxa" w:w="4759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吞吐与工期</w:t>
            </w:r>
          </w:p>
        </w:tc>
        <w:tc>
          <w:tcPr>
            <w:tcW w:type="dxa" w:w="4759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基于真实样本Benchmark核算900万全量的预期耗时</w:t>
            </w:r>
          </w:p>
        </w:tc>
      </w:tr>
    </w:tbl>
    <w:p>
      <w:r>
        <w:t>准确率和自动分类率目标应在首批样本标注、业务评审及性能测试完成后正式签署，不应把尚未验证的数字写为既定达标承诺。</w:t>
      </w:r>
    </w:p>
    <w:p>
      <w:pPr>
        <w:pStyle w:val="Heading1"/>
      </w:pPr>
      <w:r>
        <w:t>十一、实施步骤与职责分工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</w:trPr>
        <w:tc>
          <w:tcPr>
            <w:tcW w:type="dxa" w:w="3173"/>
            <w:shd w:fill="2367A7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173"/>
            <w:shd w:fill="2367A7"/>
          </w:tcPr>
          <w:p>
            <w:r>
              <w:rPr>
                <w:b/>
                <w:color w:val="FFFFFF"/>
                <w:sz w:val="18"/>
              </w:rPr>
              <w:t>主要成果</w:t>
            </w:r>
          </w:p>
        </w:tc>
        <w:tc>
          <w:tcPr>
            <w:tcW w:type="dxa" w:w="3173"/>
            <w:shd w:fill="2367A7"/>
          </w:tcPr>
          <w:p>
            <w:r>
              <w:rPr>
                <w:b/>
                <w:color w:val="FFFFFF"/>
                <w:sz w:val="18"/>
              </w:rPr>
              <w:t>责任主体</w:t>
            </w:r>
          </w:p>
        </w:tc>
      </w:tr>
      <w:tr>
        <w:trPr>
          <w:cantSplit/>
        </w:trPr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1 分类规则确认</w:t>
            </w:r>
          </w:p>
        </w:tc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25类定义、边界、反例及典型案例完成审核</w:t>
            </w:r>
          </w:p>
        </w:tc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业务主管/项目负责人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2 样本集建设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代表性样本、无关文件、边界件与标注规范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业务专家+算法</w:t>
            </w:r>
          </w:p>
        </w:tc>
      </w:tr>
      <w:tr>
        <w:trPr>
          <w:cantSplit/>
        </w:trPr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3 解析与证据处理</w:t>
            </w:r>
          </w:p>
        </w:tc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PDF分流、OCR、标题/正文证据包</w:t>
            </w:r>
          </w:p>
        </w:tc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开发/算法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4 分类引擎实现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相关性、一级、二级、精排、LLM疑难裁决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算法/后端</w:t>
            </w:r>
          </w:p>
        </w:tc>
      </w:tr>
      <w:tr>
        <w:trPr>
          <w:cantSplit/>
        </w:trPr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5 评估调参</w:t>
            </w:r>
          </w:p>
        </w:tc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阈值校准、错例复盘、置信分层</w:t>
            </w:r>
          </w:p>
        </w:tc>
        <w:tc>
          <w:tcPr>
            <w:tcW w:type="dxa" w:w="3173"/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算法/测试/业务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6 试运行和全量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性能测试、任务监控、复核机制、分批执行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>
              <w:rPr>
                <w:sz w:val="17"/>
              </w:rPr>
              <w:t>运维/测试/业务</w:t>
            </w:r>
          </w:p>
        </w:tc>
      </w:tr>
    </w:tbl>
    <w:p>
      <w:pPr>
        <w:pStyle w:val="Heading1"/>
      </w:pPr>
      <w:r>
        <w:t>十二、需业务方确认的决策事项</w:t>
      </w:r>
    </w:p>
    <w:p>
      <w:pPr>
        <w:pStyle w:val="ListBullet"/>
      </w:pPr>
      <w:r>
        <w:t>分类是单标签还是允许同一PDF跨类别多标签？当前方案按单标签设计。</w:t>
      </w:r>
    </w:p>
    <w:p>
      <w:pPr>
        <w:pStyle w:val="ListBullet"/>
      </w:pPr>
      <w:r>
        <w:t>遇到“专业对象”与“综合执法职能”冲突时优先遵循何种主管职责？</w:t>
      </w:r>
    </w:p>
    <w:p>
      <w:pPr>
        <w:pStyle w:val="ListBullet"/>
      </w:pPr>
      <w:r>
        <w:t>机构内部采购、财务、宣传材料在何种条件下应归综合管理，何种条件下应判无关？</w:t>
      </w:r>
    </w:p>
    <w:p>
      <w:pPr>
        <w:pStyle w:val="ListBullet"/>
      </w:pPr>
      <w:r>
        <w:t>灾害防治、灾后物资保障、现场救援调度间的优先归档原则如何明确？</w:t>
      </w:r>
    </w:p>
    <w:p>
      <w:pPr>
        <w:pStyle w:val="ListBullet"/>
      </w:pPr>
      <w:r>
        <w:t>验收目标采用哪种精确率、覆盖率和人工复核成本折中？</w:t>
      </w:r>
    </w:p>
    <w:p>
      <w:r>
        <w:t>结论：该需求的关键不仅是采用BGE、Reranker及LLM，而是将4个一级、25个二级类别建设为具备定义、边界、反例和可追溯证据的正式分类知识库，并通过相关性门控防止无关文件被强行归类。</w:t>
      </w:r>
    </w:p>
    <w:sectPr w:rsidR="00FC693F" w:rsidRPr="0006063C" w:rsidSect="00034616">
      <w:footerReference w:type="default" r:id="rId9"/>
      <w:pgSz w:w="12240" w:h="15840"/>
      <w:pgMar w:top="1191" w:right="1332" w:bottom="1134" w:left="13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8594"/>
        <w:sz w:val="16"/>
      </w:rPr>
      <w:t>900万PDF智能分类业务需求规格说明书  ·  需求评审稿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微软雅黑" w:hAnsi="微软雅黑"/>
      <w:color w:val="2A354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7518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7518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微软雅黑" w:hAnsi="微软雅黑"/>
      <w:b/>
      <w:color w:val="163D6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