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7365D"/>
          <w:sz w:val="52"/>
        </w:rPr>
        <w:t>900万PDF智能处理系统</w:t>
      </w:r>
    </w:p>
    <w:p>
      <w:pPr>
        <w:jc w:val="center"/>
      </w:pPr>
      <w:r>
        <w:rPr>
          <w:rFonts w:ascii="Microsoft YaHei" w:hAnsi="Microsoft YaHei" w:eastAsia="Microsoft YaHei"/>
          <w:b/>
          <w:color w:val="2F5597"/>
          <w:sz w:val="60"/>
        </w:rPr>
        <w:t>硬件配置评估报告</w:t>
      </w:r>
    </w:p>
    <w:p>
      <w:pPr>
        <w:jc w:val="center"/>
      </w:pPr>
      <w:r>
        <w:rPr>
          <w:color w:val="5A5A5A"/>
          <w:sz w:val="30"/>
        </w:rPr>
        <w:t>单服务器一体化部署 · 3个月处理目标</w:t>
      </w:r>
    </w:p>
    <w:p/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21"/>
              </w:rPr>
              <w:t>项目规模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21"/>
              </w:rPr>
              <w:t>约900万份PDF文档</w:t>
            </w:r>
          </w:p>
        </w:tc>
      </w:tr>
      <w:tr>
        <w:tc>
          <w:tcPr>
            <w:tcW w:type="dxa" w:w="5040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21"/>
              </w:rPr>
              <w:t>部署模式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21"/>
              </w:rPr>
              <w:t>单服务器一体化部署</w:t>
            </w:r>
          </w:p>
        </w:tc>
      </w:tr>
      <w:tr>
        <w:tc>
          <w:tcPr>
            <w:tcW w:type="dxa" w:w="5040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21"/>
              </w:rPr>
              <w:t>目标工期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21"/>
              </w:rPr>
              <w:t>3个月内完成首轮全量处理</w:t>
            </w:r>
          </w:p>
        </w:tc>
      </w:tr>
      <w:tr>
        <w:tc>
          <w:tcPr>
            <w:tcW w:type="dxa" w:w="5040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21"/>
              </w:rPr>
              <w:t>推荐等级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21"/>
              </w:rPr>
              <w:t>生产保障型配置</w:t>
            </w:r>
          </w:p>
        </w:tc>
      </w:tr>
      <w:tr>
        <w:tc>
          <w:tcPr>
            <w:tcW w:type="dxa" w:w="5040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21"/>
              </w:rPr>
              <w:t>报告用途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21"/>
              </w:rPr>
              <w:t>领导汇报 / 预算评估 / 技术采购参考</w:t>
            </w:r>
          </w:p>
        </w:tc>
      </w:tr>
    </w:tbl>
    <w:p/>
    <w:p>
      <w:pPr>
        <w:jc w:val="center"/>
      </w:pPr>
      <w:r>
        <w:rPr>
          <w:i/>
          <w:color w:val="785028"/>
          <w:sz w:val="20"/>
        </w:rPr>
        <w:t>说明：本报告给出预算级、生产级硬件建议。最终“三个月工期”承诺应以真实PDF样本Benchmark结果校准。</w:t>
      </w:r>
    </w:p>
    <w:p>
      <w:r>
        <w:br w:type="page"/>
      </w:r>
    </w:p>
    <w:p>
      <w:pPr>
        <w:pStyle w:val="Heading1"/>
      </w:pPr>
      <w:r>
        <w:t>一、执行摘要</w:t>
      </w:r>
    </w:p>
    <w:p>
      <w:r>
        <w:t>本项目需要在单台物理服务器上完成约900万份PDF的解析、OCR、复杂版式识别、Embedding、Reranker、疑难LLM/Vision判定、任务调度及结果存储。与普通业务系统不同，本项目既包含大量CPU密集型任务，也包含持续GPU推理任务，因此硬件必须采用“高核CPU + 大内存 + 多GPU + 高速NVMe”的一体化设计。</w:t>
      </w:r>
    </w:p>
    <w:p>
      <w:r>
        <w:t>如果仅要求“系统可以运行”，2张48GB GPU即可完成完整技术链路；但如果目标是“3个月内完成900万份历史PDF首轮全量处理”，建议采用更保守的生产保障型配置，并通过真实数据Benchmark校准最终吞吐。</w:t>
      </w:r>
    </w:p>
    <w:p>
      <w:r>
        <w:rPr>
          <w:b/>
          <w:color w:val="2F5597"/>
          <w:sz w:val="26"/>
        </w:rPr>
        <w:t>推荐生产配置（单服务器）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shd w:fill="2F5597"/>
          </w:tcPr>
          <w:p>
            <w:r>
              <w:rPr>
                <w:b/>
                <w:color w:val="FFFFFF"/>
              </w:rPr>
              <w:t>硬件项</w:t>
            </w:r>
          </w:p>
        </w:tc>
        <w:tc>
          <w:tcPr>
            <w:tcW w:type="dxa" w:w="2520"/>
            <w:shd w:fill="2F5597"/>
          </w:tcPr>
          <w:p>
            <w:r>
              <w:rPr>
                <w:b/>
                <w:color w:val="FFFFFF"/>
              </w:rPr>
              <w:t>推荐配置</w:t>
            </w:r>
          </w:p>
        </w:tc>
        <w:tc>
          <w:tcPr>
            <w:tcW w:type="dxa" w:w="2520"/>
            <w:shd w:fill="2F5597"/>
          </w:tcPr>
          <w:p>
            <w:r>
              <w:rPr>
                <w:b/>
                <w:color w:val="FFFFFF"/>
              </w:rPr>
              <w:t>必要性</w:t>
            </w:r>
          </w:p>
        </w:tc>
        <w:tc>
          <w:tcPr>
            <w:tcW w:type="dxa" w:w="2520"/>
            <w:shd w:fill="2F5597"/>
          </w:tcPr>
          <w:p>
            <w:r>
              <w:rPr>
                <w:b/>
                <w:color w:val="FFFFFF"/>
              </w:rPr>
              <w:t>主要作用</w:t>
            </w:r>
          </w:p>
        </w:tc>
      </w:tr>
      <w:tr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CPU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64～96物理核心，服务器级CPU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核心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PDF解析、转图、预处理、多Worker并发</w:t>
            </w:r>
          </w:p>
        </w:tc>
      </w:tr>
      <w:tr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内存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512GB ECC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核心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Parser/OCR/MinerU/数据库/模型并发</w:t>
            </w:r>
          </w:p>
        </w:tc>
      </w:tr>
      <w:tr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GPU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4 × 48GB NVIDIA GPU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核心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OCR、MinerU、BGE/Reranker、Vision/LLM</w:t>
            </w:r>
          </w:p>
        </w:tc>
      </w:tr>
      <w:tr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系统盘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1TB 企业级NVMe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建议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操作系统、容器、运行环境</w:t>
            </w:r>
          </w:p>
        </w:tc>
      </w:tr>
      <w:tr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工作盘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4～8TB 企业级NVMe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核心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转图、OCR缓存、MinerU中间文件、模型缓存</w:t>
            </w:r>
          </w:p>
        </w:tc>
      </w:tr>
      <w:tr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网络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10GbE起步，推荐25GbE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视存储位置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从现有PDF服务器持续读取原始文件</w:t>
            </w:r>
          </w:p>
        </w:tc>
      </w:tr>
      <w:tr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电源/散热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冗余电源+满足4GPU散热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核心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保障长时间稳定运行</w:t>
            </w:r>
          </w:p>
        </w:tc>
      </w:tr>
    </w:tbl>
    <w:p>
      <w:pPr>
        <w:pStyle w:val="Heading1"/>
      </w:pPr>
      <w:r>
        <w:t>二、评估前提与容量基线</w:t>
      </w:r>
    </w:p>
    <w:p>
      <w:r>
        <w:t>为便于做预算级估算，本报告采用以下基线。该基线不是对现有900万份PDF真实分布的断言，正式采购前需要通过1万份样本进行校准。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t>评估项</w:t>
            </w:r>
          </w:p>
        </w:tc>
        <w:tc>
          <w:tcPr>
            <w:tcW w:type="dxa" w:w="3360"/>
            <w:shd w:fill="D9EAF7"/>
          </w:tcPr>
          <w:p>
            <w:r>
              <w:t>基线假设</w:t>
            </w:r>
          </w:p>
        </w:tc>
        <w:tc>
          <w:tcPr>
            <w:tcW w:type="dxa" w:w="3360"/>
            <w:shd w:fill="D9EAF7"/>
          </w:tcPr>
          <w:p>
            <w:r>
              <w:t>影响</w:t>
            </w:r>
          </w:p>
        </w:tc>
      </w:tr>
      <w:tr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PDF数量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900万份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决定任务总量</w:t>
            </w:r>
          </w:p>
        </w:tc>
      </w:tr>
      <w:tr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平均页数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约10页/份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对应约9000万页</w:t>
            </w:r>
          </w:p>
        </w:tc>
      </w:tr>
      <w:tr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文本型PDF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约50%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主要消耗CPU</w:t>
            </w:r>
          </w:p>
        </w:tc>
      </w:tr>
      <w:tr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扫描型PDF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约35%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主要消耗OCR GPU</w:t>
            </w:r>
          </w:p>
        </w:tc>
      </w:tr>
      <w:tr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复杂版式PDF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约10%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主要消耗MinerU GPU</w:t>
            </w:r>
          </w:p>
        </w:tc>
      </w:tr>
      <w:tr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纯图片/视觉型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约5%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主要消耗Vision能力</w:t>
            </w:r>
          </w:p>
        </w:tc>
      </w:tr>
      <w:tr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计划周期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90天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决定所需持续吞吐</w:t>
            </w:r>
          </w:p>
        </w:tc>
      </w:tr>
    </w:tbl>
    <w:p>
      <w:r>
        <w:t>按上述基线，总工作量约为9000万页。90天完成意味着全链路平均每天约处理100万页，约11.6页/秒。考虑I/O等待、异常文件、重试、模型切换、维护及资源利用率后，建议把系统设计能力按16～18页/秒以上进行容量校验。</w:t>
      </w:r>
    </w:p>
    <w:p>
      <w:pPr>
        <w:pStyle w:val="Heading1"/>
      </w:pPr>
      <w:r>
        <w:t>三、为什么需要这样的硬件配置</w:t>
      </w:r>
    </w:p>
    <w:p>
      <w:pPr>
        <w:pStyle w:val="Heading2"/>
      </w:pPr>
      <w:r>
        <w:t>3.1 CPU：64～96物理核心</w:t>
      </w:r>
    </w:p>
    <w:p>
      <w:r>
        <w:t>本项目不是单纯GPU项目。目录扫描、PDF打开、文件类型判断、PyMuPDF文本解析、PDF页面渲染、图像预处理、标题识别、段落切分、规则判断、数据库写入等工作主要由CPU完成。</w:t>
      </w:r>
    </w:p>
    <w:p>
      <w:r>
        <w:t>单机情况下CPU还需要同时支撑FastAPI、Redis、PostgreSQL及多进程Worker。若CPU核心数不足，常见结果是GPU处于空闲等待状态，整体速度并不会因为GPU很强而提升。</w:t>
      </w:r>
    </w:p>
    <w:p>
      <w:r>
        <w:t>因此建议64核起步，预算允许时采用96核，以便同时运行16～32个Parser Worker并为GPU持续准备任务。</w:t>
      </w:r>
    </w:p>
    <w:p>
      <w:pPr>
        <w:pStyle w:val="Heading2"/>
      </w:pPr>
      <w:r>
        <w:t>3.2 内存：512GB ECC</w:t>
      </w:r>
    </w:p>
    <w:p>
      <w:r>
        <w:t>如果只有一台服务器，操作系统、数据库、Redis、Parser Worker、PaddleOCR、MinerU、BGE、Reranker及LLM/Vision可能同时常驻。256GB可以运行，但在长时间高并发下余量有限。</w:t>
      </w:r>
    </w:p>
    <w:p>
      <w:r>
        <w:t>512GB ECC可以显著降低频繁换页、OOM和多模型争抢内存的风险，更适合三个月持续批处理。</w:t>
      </w:r>
    </w:p>
    <w:p>
      <w:pPr>
        <w:pStyle w:val="Heading2"/>
      </w:pPr>
      <w:r>
        <w:t>3.3 GPU：4张48GB</w:t>
      </w:r>
    </w:p>
    <w:p>
      <w:r>
        <w:t>GPU是整个项目的核心推理资源。PaddleOCR、MinerU、BGE-M3、Reranker以及Vision/LLM都可能使用GPU。</w:t>
      </w:r>
    </w:p>
    <w:p>
      <w:r>
        <w:t>4张48GB卡的价值不只是总显存，更重要的是可以并行执行不同阶段任务，避免OCR、MinerU和LLM互相抢占同一张卡。</w:t>
      </w:r>
    </w:p>
    <w:p>
      <w:pPr>
        <w:pStyle w:val="Heading2"/>
      </w:pPr>
      <w:r>
        <w:t>3.4 NVMe：4～8TB高速工作盘</w:t>
      </w:r>
    </w:p>
    <w:p>
      <w:r>
        <w:t>900万份原始PDF不需要迁移到本机，原文件仍保留在现有服务器。NVMe工作盘主要用于PDF转图片、OCR临时文件、MinerU中间文件、模型缓存、批处理缓存和失败重试文件。</w:t>
      </w:r>
    </w:p>
    <w:p>
      <w:r>
        <w:t>4TB通常可以作为起点；如果中间文件保留时间较长或页面分辨率较高，8TB更稳妥。处理完成后的临时文件应自动清理。</w:t>
      </w:r>
    </w:p>
    <w:p>
      <w:pPr>
        <w:pStyle w:val="Heading2"/>
      </w:pPr>
      <w:r>
        <w:t>3.5 网络：10GbE起步，25GbE按需</w:t>
      </w:r>
    </w:p>
    <w:p>
      <w:r>
        <w:t>如果原始PDF在另一台文件服务器/NAS上，计算服务器会持续跨网络读取文件。网络过慢时，GPU会等待I/O。</w:t>
      </w:r>
    </w:p>
    <w:p>
      <w:r>
        <w:t>因此建议10GbE起步；如果现有存储端也支持更高带宽，并且Benchmark显示网络成为瓶颈，再升级到25GbE。若PDF就在本机，则25GbE不是必须项。</w:t>
      </w:r>
    </w:p>
    <w:p>
      <w:pPr>
        <w:pStyle w:val="Heading1"/>
      </w:pPr>
      <w:r>
        <w:t>四、单服务器内部资源分工</w:t>
      </w:r>
    </w:p>
    <w:p>
      <w:r>
        <w:t>单台物理服务器并不意味着所有任务串行运行。系统仍应采用“主控调度 + 多Worker流水线 + GPU并行”的方式运行。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2F5597"/>
          </w:tcPr>
          <w:p>
            <w:r>
              <w:rPr>
                <w:b/>
                <w:color w:val="FFFFFF"/>
              </w:rPr>
              <w:t>资源</w:t>
            </w:r>
          </w:p>
        </w:tc>
        <w:tc>
          <w:tcPr>
            <w:tcW w:type="dxa" w:w="3360"/>
            <w:shd w:fill="2F5597"/>
          </w:tcPr>
          <w:p>
            <w:r>
              <w:rPr>
                <w:b/>
                <w:color w:val="FFFFFF"/>
              </w:rPr>
              <w:t>建议分工</w:t>
            </w:r>
          </w:p>
        </w:tc>
        <w:tc>
          <w:tcPr>
            <w:tcW w:type="dxa" w:w="3360"/>
            <w:shd w:fill="2F5597"/>
          </w:tcPr>
          <w:p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CPU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16～32个Parser Worker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文本PDF、转图、结构抽取、预处理</w:t>
            </w:r>
          </w:p>
        </w:tc>
      </w:tr>
      <w:tr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GPU 0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PaddleOCR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扫描PDF批量OCR</w:t>
            </w:r>
          </w:p>
        </w:tc>
      </w:tr>
      <w:tr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GPU 1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PaddleOCR / 动态支援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OCR高峰时双卡并行</w:t>
            </w:r>
          </w:p>
        </w:tc>
      </w:tr>
      <w:tr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GPU 2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MinerU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复杂版式、表格、混排文档</w:t>
            </w:r>
          </w:p>
        </w:tc>
      </w:tr>
      <w:tr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GPU 3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BGE-M3 + Reranker + Vision/LLM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分类和疑难件处理</w:t>
            </w:r>
          </w:p>
        </w:tc>
      </w:tr>
    </w:tbl>
    <w:p>
      <w:r>
        <w:t>当某一队列积压时，可动态调整GPU角色。例如OCR任务过多时，GPU 2也可临时加入OCR；复杂PDF较少时，GPU 2可参与Embedding/Reranker或Vision推理。</w:t>
      </w:r>
    </w:p>
    <w:p>
      <w:pPr>
        <w:pStyle w:val="Heading1"/>
      </w:pPr>
      <w:r>
        <w:t>五、三个月工期的容量测算逻辑</w:t>
      </w:r>
    </w:p>
    <w:p>
      <w:r>
        <w:t>容量规划核心公式为：</w:t>
      </w:r>
    </w:p>
    <w:p>
      <w:pPr>
        <w:jc w:val="center"/>
      </w:pPr>
      <w:r>
        <w:rPr>
          <w:b/>
          <w:color w:val="C0504D"/>
          <w:sz w:val="28"/>
        </w:rPr>
        <w:t>所需资源 ≈ 总工作量 ÷ 单节点实测吞吐 ÷ 可用时间 × 冗余系数</w:t>
      </w:r>
    </w:p>
    <w:p>
      <w:r>
        <w:t>按900万份、平均10页估算，总量约9000万页。90天完成，则全链路平均每天约100万页。为了避免按100%资源利用率做危险设计，建议以70%～75%的有效利用率进行校核。</w:t>
      </w:r>
    </w:p>
    <w:p>
      <w:r>
        <w:rPr>
          <w:b/>
          <w:sz w:val="25"/>
        </w:rPr>
        <w:t>OCR容量示例</w:t>
      </w:r>
    </w:p>
    <w:p>
      <w:r>
        <w:t>若扫描件约占35%，OCR工作量约3150万页。90天平均约35万页/天，即约4.05页/秒。按70%有效利用率折算，OCR子系统建议具备约5.8页/秒以上的稳定能力。双48GB GPU并行OCR能够提供更充分的冗余空间，但最终仍应以真实PaddleOCR Benchmark为准。</w:t>
      </w:r>
    </w:p>
    <w:p>
      <w:r>
        <w:rPr>
          <w:b/>
          <w:sz w:val="25"/>
        </w:rPr>
        <w:t>MinerU容量示例</w:t>
      </w:r>
    </w:p>
    <w:p>
      <w:r>
        <w:t>若复杂版式约占10%，MinerU工作量约900万页。90天平均约10万页/天，即约1.16页/秒。考虑利用率后，复杂版式链路建议具备约1.6页/秒以上的稳定能力。若真实复杂文档比例显著低于10%，MinerU压力会大幅下降。</w:t>
      </w:r>
    </w:p>
    <w:p>
      <w:pPr>
        <w:pStyle w:val="Heading1"/>
      </w:pPr>
      <w:r>
        <w:t>六、三档硬件配置建议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2F5597"/>
          </w:tcPr>
          <w:p>
            <w:r>
              <w:rPr>
                <w:b/>
                <w:color w:val="FFFFFF"/>
              </w:rPr>
              <w:t>配置档位</w:t>
            </w:r>
          </w:p>
        </w:tc>
        <w:tc>
          <w:tcPr>
            <w:tcW w:type="dxa" w:w="2016"/>
            <w:shd w:fill="2F5597"/>
          </w:tcPr>
          <w:p>
            <w:r>
              <w:rPr>
                <w:b/>
                <w:color w:val="FFFFFF"/>
              </w:rPr>
              <w:t>CPU</w:t>
            </w:r>
          </w:p>
        </w:tc>
        <w:tc>
          <w:tcPr>
            <w:tcW w:type="dxa" w:w="2016"/>
            <w:shd w:fill="2F5597"/>
          </w:tcPr>
          <w:p>
            <w:r>
              <w:rPr>
                <w:b/>
                <w:color w:val="FFFFFF"/>
              </w:rPr>
              <w:t>内存</w:t>
            </w:r>
          </w:p>
        </w:tc>
        <w:tc>
          <w:tcPr>
            <w:tcW w:type="dxa" w:w="2016"/>
            <w:shd w:fill="2F5597"/>
          </w:tcPr>
          <w:p>
            <w:r>
              <w:rPr>
                <w:b/>
                <w:color w:val="FFFFFF"/>
              </w:rPr>
              <w:t>GPU</w:t>
            </w:r>
          </w:p>
        </w:tc>
        <w:tc>
          <w:tcPr>
            <w:tcW w:type="dxa" w:w="2016"/>
            <w:shd w:fill="2F5597"/>
          </w:tcPr>
          <w:p>
            <w:r>
              <w:rPr>
                <w:b/>
                <w:color w:val="FFFFFF"/>
              </w:rPr>
              <w:t>适用场景</w:t>
            </w:r>
          </w:p>
        </w:tc>
      </w:tr>
      <w:t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验证型</w:t>
            </w:r>
          </w:p>
        </w:tc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32核</w:t>
            </w:r>
          </w:p>
        </w:tc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128GB</w:t>
            </w:r>
          </w:p>
        </w:tc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2×24GB</w:t>
            </w:r>
          </w:p>
        </w:tc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1万～10万样本验证，不承诺3个月</w:t>
            </w:r>
          </w:p>
        </w:tc>
      </w:tr>
      <w:t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可运行型</w:t>
            </w:r>
          </w:p>
        </w:tc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64核</w:t>
            </w:r>
          </w:p>
        </w:tc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256GB</w:t>
            </w:r>
          </w:p>
        </w:tc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2×48GB</w:t>
            </w:r>
          </w:p>
        </w:tc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完整链路可运行，适合较宽松工期</w:t>
            </w:r>
          </w:p>
        </w:tc>
      </w:tr>
      <w:t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生产保障型（推荐）</w:t>
            </w:r>
          </w:p>
        </w:tc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64～96核</w:t>
            </w:r>
          </w:p>
        </w:tc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512GB</w:t>
            </w:r>
          </w:p>
        </w:tc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4×48GB</w:t>
            </w:r>
          </w:p>
        </w:tc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面向900万份、3个月目标的预算级推荐</w:t>
            </w:r>
          </w:p>
        </w:tc>
      </w:tr>
    </w:tbl>
    <w:p>
      <w:pPr>
        <w:pStyle w:val="Heading1"/>
      </w:pPr>
      <w:r>
        <w:t>七、哪些配置可以降，哪些不建议降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</w:tcPr>
          <w:p>
            <w:r>
              <w:t>项目</w:t>
            </w:r>
          </w:p>
        </w:tc>
        <w:tc>
          <w:tcPr>
            <w:tcW w:type="dxa" w:w="2520"/>
            <w:shd w:fill="D9EAF7"/>
          </w:tcPr>
          <w:p>
            <w:r>
              <w:t>是否可降</w:t>
            </w:r>
          </w:p>
        </w:tc>
        <w:tc>
          <w:tcPr>
            <w:tcW w:type="dxa" w:w="2520"/>
            <w:shd w:fill="D9EAF7"/>
          </w:tcPr>
          <w:p>
            <w:r>
              <w:t>建议下限</w:t>
            </w:r>
          </w:p>
        </w:tc>
        <w:tc>
          <w:tcPr>
            <w:tcW w:type="dxa" w:w="2520"/>
            <w:shd w:fill="D9EAF7"/>
          </w:tcPr>
          <w:p>
            <w:r>
              <w:t>说明</w:t>
            </w:r>
          </w:p>
        </w:tc>
      </w:tr>
      <w:tr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CPU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可适度降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64核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低于64核可能拖慢页面准备和多Worker并发</w:t>
            </w:r>
          </w:p>
        </w:tc>
      </w:tr>
      <w:tr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内存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可降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256GB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能跑，但高并发余量较小</w:t>
            </w:r>
          </w:p>
        </w:tc>
      </w:tr>
      <w:tr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GPU数量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谨慎降低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2×48GB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2张能运行，但不建议用于强承诺3个月</w:t>
            </w:r>
          </w:p>
        </w:tc>
      </w:tr>
      <w:tr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GPU显存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谨慎降低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24GB/卡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如果不本地跑LLM/Vision，可以考虑</w:t>
            </w:r>
          </w:p>
        </w:tc>
      </w:tr>
      <w:tr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NVMe容量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可降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4TB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前提是临时文件及时清理</w:t>
            </w:r>
          </w:p>
        </w:tc>
      </w:tr>
      <w:tr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网络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可降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10GbE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PDF本地时网络要求可明显降低</w:t>
            </w:r>
          </w:p>
        </w:tc>
      </w:tr>
    </w:tbl>
    <w:p>
      <w:pPr>
        <w:pStyle w:val="Heading1"/>
      </w:pPr>
      <w:r>
        <w:t>八、建议的软件与运行环境</w:t>
      </w:r>
    </w:p>
    <w:p>
      <w:pPr>
        <w:pStyle w:val="ListBullet"/>
      </w:pPr>
      <w:r>
        <w:t>操作系统：Ubuntu Server 22.04/24.04 LTS；</w:t>
      </w:r>
    </w:p>
    <w:p>
      <w:pPr>
        <w:pStyle w:val="ListBullet"/>
      </w:pPr>
      <w:r>
        <w:t>容器：Docker / Docker Compose，用于隔离OCR、MinerU、Embedding和业务服务；</w:t>
      </w:r>
    </w:p>
    <w:p>
      <w:pPr>
        <w:pStyle w:val="ListBullet"/>
      </w:pPr>
      <w:r>
        <w:t>任务调度：Redis + Celery，单机场景优先于Kafka，结构更简单；</w:t>
      </w:r>
    </w:p>
    <w:p>
      <w:pPr>
        <w:pStyle w:val="ListBullet"/>
      </w:pPr>
      <w:r>
        <w:t>数据库：PostgreSQL，保存任务状态、分类结果、错误信息及处理日志；</w:t>
      </w:r>
    </w:p>
    <w:p>
      <w:pPr>
        <w:pStyle w:val="ListBullet"/>
      </w:pPr>
      <w:r>
        <w:t>监控：Prometheus + Grafana 或轻量系统监控，重点观察CPU/GPU利用率、显存、队列积压、磁盘I/O和失败率；</w:t>
      </w:r>
    </w:p>
    <w:p>
      <w:pPr>
        <w:pStyle w:val="ListBullet"/>
      </w:pPr>
      <w:r>
        <w:t>GPU运行：CUDA版本根据GPU型号及Paddle/MinerU依赖统一锁定，避免运行时版本冲突。</w:t>
      </w:r>
    </w:p>
    <w:p>
      <w:pPr>
        <w:pStyle w:val="Heading1"/>
      </w:pPr>
      <w:r>
        <w:t>九、正式采购/上线前必须做的Benchmark</w:t>
      </w:r>
    </w:p>
    <w:p>
      <w:r>
        <w:t>“3个月内一定跑完”不能只依据理论配置承诺。最专业的方式是在目标服务器上抽取1万份真实PDF做压力测试，并记录以下指标：</w:t>
      </w:r>
    </w:p>
    <w:p>
      <w:pPr>
        <w:pStyle w:val="ListBullet"/>
      </w:pPr>
      <w:r>
        <w:t>平均页数</w:t>
      </w:r>
    </w:p>
    <w:p>
      <w:pPr>
        <w:pStyle w:val="ListBullet"/>
      </w:pPr>
      <w:r>
        <w:t>文本/扫描/复杂/纯图片比例</w:t>
      </w:r>
    </w:p>
    <w:p>
      <w:pPr>
        <w:pStyle w:val="ListBullet"/>
      </w:pPr>
      <w:r>
        <w:t>PyMuPDF页/秒</w:t>
      </w:r>
    </w:p>
    <w:p>
      <w:pPr>
        <w:pStyle w:val="ListBullet"/>
      </w:pPr>
      <w:r>
        <w:t>PaddleOCR页/秒/GPU</w:t>
      </w:r>
    </w:p>
    <w:p>
      <w:pPr>
        <w:pStyle w:val="ListBullet"/>
      </w:pPr>
      <w:r>
        <w:t>MinerU页/秒/GPU</w:t>
      </w:r>
    </w:p>
    <w:p>
      <w:pPr>
        <w:pStyle w:val="ListBullet"/>
      </w:pPr>
      <w:r>
        <w:t>BGE/Reranker文档/秒</w:t>
      </w:r>
    </w:p>
    <w:p>
      <w:pPr>
        <w:pStyle w:val="ListBullet"/>
      </w:pPr>
      <w:r>
        <w:t>LLM/Vision实际调用比例</w:t>
      </w:r>
    </w:p>
    <w:p>
      <w:pPr>
        <w:pStyle w:val="ListBullet"/>
      </w:pPr>
      <w:r>
        <w:t>CPU平均利用率和峰值</w:t>
      </w:r>
    </w:p>
    <w:p>
      <w:pPr>
        <w:pStyle w:val="ListBullet"/>
      </w:pPr>
      <w:r>
        <w:t>GPU平均利用率、显存峰值</w:t>
      </w:r>
    </w:p>
    <w:p>
      <w:pPr>
        <w:pStyle w:val="ListBullet"/>
      </w:pPr>
      <w:r>
        <w:t>NVMe读写吞吐</w:t>
      </w:r>
    </w:p>
    <w:p>
      <w:pPr>
        <w:pStyle w:val="ListBullet"/>
      </w:pPr>
      <w:r>
        <w:t>异常/重试比例</w:t>
      </w:r>
    </w:p>
    <w:p>
      <w:r>
        <w:t>建议把“三个月工期”的技术验收线定义为：在真实样本长时间压力测试下，系统综合吞吐稳定达到16～18页/秒以上，且OCR/MinerU任务队列不持续增长、CPU长期不超过85%、内存不发生频繁Swap、GPU无持续OOM。满足该条件后，再对900万全量工期进行正式确认。</w:t>
      </w:r>
    </w:p>
    <w:p>
      <w:pPr>
        <w:pStyle w:val="Heading1"/>
      </w:pPr>
      <w:r>
        <w:t>十、主要风险与应对措施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2F5597"/>
          </w:tcPr>
          <w:p>
            <w:r>
              <w:rPr>
                <w:b/>
                <w:color w:val="FFFFFF"/>
              </w:rPr>
              <w:t>风险</w:t>
            </w:r>
          </w:p>
        </w:tc>
        <w:tc>
          <w:tcPr>
            <w:tcW w:type="dxa" w:w="3360"/>
            <w:shd w:fill="2F5597"/>
          </w:tcPr>
          <w:p>
            <w:r>
              <w:rPr>
                <w:b/>
                <w:color w:val="FFFFFF"/>
              </w:rPr>
              <w:t>影响</w:t>
            </w:r>
          </w:p>
        </w:tc>
        <w:tc>
          <w:tcPr>
            <w:tcW w:type="dxa" w:w="3360"/>
            <w:shd w:fill="2F5597"/>
          </w:tcPr>
          <w:p>
            <w:r>
              <w:rPr>
                <w:b/>
                <w:color w:val="FFFFFF"/>
              </w:rPr>
              <w:t>应对</w:t>
            </w:r>
          </w:p>
        </w:tc>
      </w:tr>
      <w:tr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真实平均页数高于10页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总工作量增加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先抽样统计，再调整工期/并发策略</w:t>
            </w:r>
          </w:p>
        </w:tc>
      </w:tr>
      <w:tr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扫描件比例显著高于35%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OCR成为瓶颈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优先增加OCR并发或调整GPU分工</w:t>
            </w:r>
          </w:p>
        </w:tc>
      </w:tr>
      <w:tr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复杂PDF比例高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MinerU耗时上升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仅复杂文档进入MinerU，严格做前置分流</w:t>
            </w:r>
          </w:p>
        </w:tc>
      </w:tr>
      <w:tr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PDF服务器I/O慢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GPU等待文件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本地NVMe缓存，必要时提升网络和存储吞吐</w:t>
            </w:r>
          </w:p>
        </w:tc>
      </w:tr>
      <w:tr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本地LLM占显存过多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影响OCR/MinerU并发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疑难件异步批处理，必要时采用API或量化模型</w:t>
            </w:r>
          </w:p>
        </w:tc>
      </w:tr>
      <w:tr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单机故障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全系统暂停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做好任务断点续跑、数据库备份及服务器级冗余备件</w:t>
            </w:r>
          </w:p>
        </w:tc>
      </w:tr>
    </w:tbl>
    <w:p>
      <w:pPr>
        <w:pStyle w:val="Heading1"/>
      </w:pPr>
      <w:r>
        <w:t>十一、最终建议</w:t>
      </w:r>
    </w:p>
    <w:p>
      <w:r>
        <w:rPr>
          <w:b/>
          <w:color w:val="2F5597"/>
          <w:sz w:val="26"/>
        </w:rPr>
        <w:t>推荐采购/部署基线：</w:t>
      </w:r>
    </w:p>
    <w:p>
      <w:pPr>
        <w:pStyle w:val="ListBullet"/>
      </w:pPr>
      <w:r>
        <w:t>服务器：1台高性能GPU计算服务器</w:t>
      </w:r>
    </w:p>
    <w:p>
      <w:pPr>
        <w:pStyle w:val="ListBullet"/>
      </w:pPr>
      <w:r>
        <w:t>CPU：64～96物理核心，服务器级处理器</w:t>
      </w:r>
    </w:p>
    <w:p>
      <w:pPr>
        <w:pStyle w:val="ListBullet"/>
      </w:pPr>
      <w:r>
        <w:t>内存：512GB ECC</w:t>
      </w:r>
    </w:p>
    <w:p>
      <w:pPr>
        <w:pStyle w:val="ListBullet"/>
      </w:pPr>
      <w:r>
        <w:t>GPU：4 × 48GB NVIDIA GPU</w:t>
      </w:r>
    </w:p>
    <w:p>
      <w:pPr>
        <w:pStyle w:val="ListBullet"/>
      </w:pPr>
      <w:r>
        <w:t>系统盘：1TB 企业级NVMe</w:t>
      </w:r>
    </w:p>
    <w:p>
      <w:pPr>
        <w:pStyle w:val="ListBullet"/>
      </w:pPr>
      <w:r>
        <w:t>高速工作盘：4～8TB 企业级NVMe</w:t>
      </w:r>
    </w:p>
    <w:p>
      <w:pPr>
        <w:pStyle w:val="ListBullet"/>
      </w:pPr>
      <w:r>
        <w:t>网络：10GbE起步；跨服务器读取PDF且存储端支持时推荐25GbE</w:t>
      </w:r>
    </w:p>
    <w:p>
      <w:pPr>
        <w:pStyle w:val="ListBullet"/>
      </w:pPr>
      <w:r>
        <w:t>操作系统：Ubuntu Server LTS</w:t>
      </w:r>
    </w:p>
    <w:p>
      <w:pPr>
        <w:pStyle w:val="ListBullet"/>
      </w:pPr>
      <w:r>
        <w:t>部署方式：单服务器，多Worker流水线并行</w:t>
      </w:r>
    </w:p>
    <w:p>
      <w:r>
        <w:rPr>
          <w:b/>
          <w:color w:val="C0504D"/>
          <w:sz w:val="26"/>
        </w:rPr>
        <w:t>管理层结论：</w:t>
      </w:r>
    </w:p>
    <w:p>
      <w:r>
        <w:t>在单服务器约束下，为兼顾900万份PDF全量处理、3个月工期目标和后续持续运行，建议按64～96核CPU、512GB内存、4张48GB GPU及4～8TB NVMe高速工作盘进行生产级规划。该配置属于“工期保障型预算配置”，不是最终绝对值。正式采购前必须以1万份真实PDF进行Benchmark，并以综合吞吐达到16～18页/秒以上作为三个月工期的容量校验依据。</w:t>
      </w:r>
    </w:p>
    <w:p>
      <w:pPr>
        <w:pStyle w:val="Heading1"/>
      </w:pPr>
      <w:r>
        <w:t>附录：领导快速问答</w:t>
      </w:r>
    </w:p>
    <w:p>
      <w:r>
        <w:rPr>
          <w:b/>
          <w:color w:val="2F5597"/>
        </w:rPr>
        <w:t>为什么不是普通业务服务器？</w:t>
      </w:r>
    </w:p>
    <w:p>
      <w:r>
        <w:t>因为本项目同时包含大规模PDF解析、OCR、复杂版式识别和AI推理，需要持续高CPU与GPU并发。</w:t>
      </w:r>
    </w:p>
    <w:p>
      <w:r>
        <w:rPr>
          <w:b/>
          <w:color w:val="2F5597"/>
        </w:rPr>
        <w:t>为什么要4张GPU？</w:t>
      </w:r>
    </w:p>
    <w:p>
      <w:r>
        <w:t>不是所有卡都跑同一个模型，而是让OCR、MinerU、分类和Vision/LLM并行，减少相互等待。</w:t>
      </w:r>
    </w:p>
    <w:p>
      <w:r>
        <w:rPr>
          <w:b/>
          <w:color w:val="2F5597"/>
        </w:rPr>
        <w:t>8TB NVMe是不是保存900万PDF？</w:t>
      </w:r>
    </w:p>
    <w:p>
      <w:r>
        <w:t>不是。原PDF继续存放在现有服务器，NVMe主要作为高速临时工作区；4TB也可以作为起点。</w:t>
      </w:r>
    </w:p>
    <w:p>
      <w:r>
        <w:rPr>
          <w:b/>
          <w:color w:val="2F5597"/>
        </w:rPr>
        <w:t>25GbE是不是必须？</w:t>
      </w:r>
    </w:p>
    <w:p>
      <w:r>
        <w:t>不是。10GbE可以起步；只有跨服务器读取文件且I/O成为瓶颈时才建议升级25GbE。</w:t>
      </w:r>
    </w:p>
    <w:p>
      <w:r>
        <w:rPr>
          <w:b/>
          <w:color w:val="2F5597"/>
        </w:rPr>
        <w:t>能不能保证3个月？</w:t>
      </w:r>
    </w:p>
    <w:p>
      <w:r>
        <w:t>硬件配置可以按3个月目标设计，但正式承诺必须以真实PDF Benchmark为依据。</w:t>
      </w:r>
    </w:p>
    <w:p>
      <w:r>
        <w:rPr>
          <w:b/>
          <w:color w:val="2F5597"/>
        </w:rPr>
        <w:t>以后还能扩吗？</w:t>
      </w:r>
    </w:p>
    <w:p>
      <w:r>
        <w:t>单机可以先通过增加Worker和动态GPU调度优化；若工期进一步压缩，则需要增加GPU或扩展为多节点。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36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787878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787878"/>
        <w:sz w:val="16"/>
      </w:rPr>
      <w:t>900万PDF智能处理系统 · 硬件配置评估报告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8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559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4546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