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Ética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Basándose en los requerimientos funcionales del proyecto y aplicando la legislación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revisada en la cursada: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· Describir cómo el grupo se conforma como instrumento legal (Empresa, Socios, CEO,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Empleados) y si tendrán un contrato con que cláusulas.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· Describir quiénes y ante quien deben matricularse a nivel provincial para ejercer la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Profesión.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· Describir que requerimientos deben cumplir el código programado y las bases 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datos según la legislación vigente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· Enumerar los pasos para que ARGBroker sea parte del Registro Nacional 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software.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· Si un integrante del grupo no realiza el trámite de matriculación, que pena 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corresponde a nivel provincial.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· Si el código es replicado, describir como la Ley de Propiedad Intelectual puede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salvaguardar a ARGBroker.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· Si un integrante del grupo divulga los datos de la base de datos interna, describir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como legalmente deberían accionar los demás.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· Si otro integrante del grupo reutiliza el código para fines personales, describir como legalmente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deberían accionar los demás según la Legislación de la Provincia de Córdoba y el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Código Penal Argentino.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· Si otro integrante del grupo reutiliza el código para fines personales a nivel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internacional, describir qué instrumento legal respalda a ARGBroker.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· Si la base de datos es adulterada de manera externa, a nivel nacional, describir qué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instrumento legal respalda a ARGBroker.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· Si los datos de la base de datos son adulterados de manera externa, a nivel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internacional, describir qué instrumento legal respalda a ARGBroker.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· Cuando los programadores de ARGBroker incurren en una negligencia, a que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instrumento legal se acude y quien.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· Cómo ARGBroker debe implementar seguridad según la Ley de Protección de Datos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Personales.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· Si el cliente decide reemplazar a ARGBroker por otro proveedor, describir cómo 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debe actuar de manera ética ante el cliente y los colegas.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· Si un usuario denuncia a ARGBroker por divulgación de sus datos personales, a que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legislación recurrió el mismo y como ARGBroker puede respaldarse jurídicamente.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Todos los integrantes del equipo deberán colaborar con el proyecto mediante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tareas (issues) asignadas.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