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tkinson Hyperlegible" w:cs="Atkinson Hyperlegible" w:eastAsia="Atkinson Hyperlegible" w:hAnsi="Atkinson Hyperlegible"/>
          <w:b/>
          <w:bCs/>
          <w:sz w:val="36"/>
          <w:szCs w:val="36"/>
        </w:rPr>
        <w:t xml:space="preserve">AP54 Seeing Alpha — Reviewer Brief</w:t>
      </w:r>
    </w:p>
    <w:p>
      <w:pPr>
        <w:spacing w:after="160" w:line="276"/>
      </w:pPr>
      <w:r>
        <w:rPr>
          <w:rFonts w:ascii="Atkinson Hyperlegible" w:cs="Atkinson Hyperlegible" w:eastAsia="Atkinson Hyperlegible" w:hAnsi="Atkinson Hyperlegible"/>
          <w:b w:val="false"/>
          <w:bCs w:val="false"/>
          <w:i/>
          <w:iCs/>
          <w:sz w:val="22"/>
          <w:szCs w:val="22"/>
        </w:rPr>
        <w:t xml:space="preserve">What the paper claims, what it refuses, what is settled and not up for review, and where the attack is most useful.</w:t>
      </w:r>
    </w:p>
    <w:p>
      <w:pPr>
        <w:spacing w:after="160" w:line="276"/>
      </w:pPr>
      <w:r>
        <w:rPr>
          <w:rFonts w:ascii="Atkinson Hyperlegible" w:cs="Atkinson Hyperlegible" w:eastAsia="Atkinson Hyperlegible" w:hAnsi="Atkinson Hyperlegible"/>
          <w:b w:val="false"/>
          <w:bCs w:val="false"/>
          <w:i/>
          <w:iCs/>
          <w:sz w:val="22"/>
          <w:szCs w:val="22"/>
        </w:rPr>
        <w:t xml:space="preserve">Beside AP54 draft v0.4, 12 September 2026. This brief is an instrument. It is not part of the paper and does not ship with it.</w:t>
      </w:r>
    </w:p>
    <w:p>
      <w:pPr>
        <w:pStyle w:val="Heading2"/>
        <w:spacing w:after="200" w:before="420"/>
      </w:pPr>
      <w:r>
        <w:rPr>
          <w:rFonts w:ascii="Atkinson Hyperlegible" w:cs="Atkinson Hyperlegible" w:eastAsia="Atkinson Hyperlegible" w:hAnsi="Atkinson Hyperlegible"/>
          <w:b/>
          <w:bCs/>
          <w:color w:val="000000"/>
          <w:sz w:val="24"/>
          <w:szCs w:val="24"/>
        </w:rPr>
        <w:t xml:space="preserve">What the paper is</w:t>
      </w:r>
    </w:p>
    <w:p>
      <w:pPr>
        <w:spacing w:after="160" w:line="276"/>
      </w:pPr>
      <w:r>
        <w:rPr>
          <w:rFonts w:ascii="Atkinson Hyperlegible" w:cs="Atkinson Hyperlegible" w:eastAsia="Atkinson Hyperlegible" w:hAnsi="Atkinson Hyperlegible"/>
          <w:b w:val="false"/>
          <w:bCs w:val="false"/>
          <w:i w:val="false"/>
          <w:iCs w:val="false"/>
          <w:sz w:val="22"/>
          <w:szCs w:val="22"/>
        </w:rPr>
        <w:t xml:space="preserve">AP54 says what α is inside this corpus and refuses its value. It changes no number anywhere. It registers every road to the value that has been walked, with the locus of each and the reason it closes, and gives one structural reason that covers five of them. It files a protocol for any future attempt at a value.</w:t>
      </w:r>
    </w:p>
    <w:p>
      <w:pPr>
        <w:spacing w:after="160" w:line="276"/>
      </w:pPr>
      <w:r>
        <w:rPr>
          <w:rFonts w:ascii="Atkinson Hyperlegible" w:cs="Atkinson Hyperlegible" w:eastAsia="Atkinson Hyperlegible" w:hAnsi="Atkinson Hyperlegible"/>
          <w:b w:val="false"/>
          <w:bCs w:val="false"/>
          <w:i w:val="false"/>
          <w:iCs w:val="false"/>
          <w:sz w:val="22"/>
          <w:szCs w:val="22"/>
        </w:rPr>
        <w:t xml:space="preserve">It is therefore not a derivation paper and should not be read as a failed one. The test of it is whether the description is coherent with the locked corpus, whether the register is honest and complete, and whether the closures hold.</w:t>
      </w:r>
    </w:p>
    <w:p>
      <w:pPr>
        <w:pStyle w:val="Heading2"/>
        <w:spacing w:after="200" w:before="420"/>
      </w:pPr>
      <w:r>
        <w:rPr>
          <w:rFonts w:ascii="Atkinson Hyperlegible" w:cs="Atkinson Hyperlegible" w:eastAsia="Atkinson Hyperlegible" w:hAnsi="Atkinson Hyperlegible"/>
          <w:b/>
          <w:bCs/>
          <w:color w:val="000000"/>
          <w:sz w:val="24"/>
          <w:szCs w:val="24"/>
        </w:rPr>
        <w:t xml:space="preserve">Settled, and not up for review</w:t>
      </w:r>
    </w:p>
    <w:p>
      <w:pPr>
        <w:spacing w:after="160" w:line="276"/>
      </w:pPr>
      <w:r>
        <w:rPr>
          <w:rFonts w:ascii="Atkinson Hyperlegible" w:cs="Atkinson Hyperlegible" w:eastAsia="Atkinson Hyperlegible" w:hAnsi="Atkinson Hyperlegible"/>
          <w:b w:val="false"/>
          <w:bCs w:val="false"/>
          <w:i w:val="false"/>
          <w:iCs w:val="false"/>
          <w:sz w:val="22"/>
          <w:szCs w:val="22"/>
        </w:rPr>
        <w:t xml:space="preserve">These are the author's rulings. Attack their consequences if you wish; do not ask for them to be reopened.</w:t>
      </w:r>
    </w:p>
    <w:p>
      <w:pPr>
        <w:spacing w:after="160" w:line="276"/>
      </w:pPr>
      <w:r>
        <w:rPr>
          <w:rFonts w:ascii="Atkinson Hyperlegible" w:cs="Atkinson Hyperlegible" w:eastAsia="Atkinson Hyperlegible" w:hAnsi="Atkinson Hyperlegible"/>
          <w:b w:val="false"/>
          <w:bCs w:val="false"/>
          <w:i w:val="false"/>
          <w:iCs w:val="false"/>
          <w:sz w:val="22"/>
          <w:szCs w:val="22"/>
        </w:rPr>
        <w:t xml:space="preserve">The definition of α in §2. The rung ruling in §4 — both rungs, by view. The blink as the horse in §5. The scope ruling on AP24 §5.4 in §8. The entropy describing in §9, including the identification of entropy with dark matter, which the paper states and then explicitly does not use. The refusal of the value in §11. The title.</w:t>
      </w:r>
    </w:p>
    <w:p>
      <w:pPr>
        <w:pStyle w:val="Heading2"/>
        <w:spacing w:after="200" w:before="420"/>
      </w:pPr>
      <w:r>
        <w:rPr>
          <w:rFonts w:ascii="Atkinson Hyperlegible" w:cs="Atkinson Hyperlegible" w:eastAsia="Atkinson Hyperlegible" w:hAnsi="Atkinson Hyperlegible"/>
          <w:b/>
          <w:bCs/>
          <w:color w:val="000000"/>
          <w:sz w:val="24"/>
          <w:szCs w:val="24"/>
        </w:rPr>
        <w:t xml:space="preserve">Desk decisions, and these are up for review</w:t>
      </w:r>
    </w:p>
    <w:p>
      <w:pPr>
        <w:spacing w:after="160" w:line="276"/>
      </w:pPr>
      <w:r>
        <w:rPr>
          <w:rFonts w:ascii="Atkinson Hyperlegible" w:cs="Atkinson Hyperlegible" w:eastAsia="Atkinson Hyperlegible" w:hAnsi="Atkinson Hyperlegible"/>
          <w:b w:val="false"/>
          <w:bCs w:val="false"/>
          <w:i w:val="false"/>
          <w:iCs w:val="false"/>
          <w:sz w:val="22"/>
          <w:szCs w:val="22"/>
        </w:rPr>
        <w:t xml:space="preserve">Four readings in the body are the desk's, made under the author's direction and open to being wrong.</w:t>
      </w:r>
    </w:p>
    <w:p>
      <w:pPr>
        <w:spacing w:after="160" w:line="276"/>
        <w:ind w:left="567"/>
      </w:pPr>
      <w:r>
        <w:rPr>
          <w:rFonts w:ascii="Atkinson Hyperlegible" w:cs="Atkinson Hyperlegible" w:eastAsia="Atkinson Hyperlegible" w:hAnsi="Atkinson Hyperlegible"/>
          <w:b w:val="false"/>
          <w:bCs w:val="false"/>
          <w:i w:val="false"/>
          <w:iCs w:val="false"/>
          <w:sz w:val="22"/>
          <w:szCs w:val="22"/>
        </w:rPr>
        <w:t xml:space="preserve">The side view read as a projection — length kept, depth lost (§3).</w:t>
      </w:r>
    </w:p>
    <w:p>
      <w:pPr>
        <w:spacing w:after="160" w:line="276"/>
        <w:ind w:left="567"/>
      </w:pPr>
      <w:r>
        <w:rPr>
          <w:rFonts w:ascii="Atkinson Hyperlegible" w:cs="Atkinson Hyperlegible" w:eastAsia="Atkinson Hyperlegible" w:hAnsi="Atkinson Hyperlegible"/>
          <w:b w:val="false"/>
          <w:bCs w:val="false"/>
          <w:i w:val="false"/>
          <w:iCs w:val="false"/>
          <w:sz w:val="22"/>
          <w:szCs w:val="22"/>
        </w:rPr>
        <w:t xml:space="preserve">Rung one read as the cut's width within the grain (§4).</w:t>
      </w:r>
    </w:p>
    <w:p>
      <w:pPr>
        <w:spacing w:after="160" w:line="276"/>
        <w:ind w:left="567"/>
      </w:pPr>
      <w:r>
        <w:rPr>
          <w:rFonts w:ascii="Atkinson Hyperlegible" w:cs="Atkinson Hyperlegible" w:eastAsia="Atkinson Hyperlegible" w:hAnsi="Atkinson Hyperlegible"/>
          <w:b w:val="false"/>
          <w:bCs w:val="false"/>
          <w:i w:val="false"/>
          <w:iCs w:val="false"/>
          <w:sz w:val="22"/>
          <w:szCs w:val="22"/>
        </w:rPr>
        <w:t xml:space="preserve">The slack-rope account of why a free electron has no Bohr radius (§4).</w:t>
      </w:r>
    </w:p>
    <w:p>
      <w:pPr>
        <w:spacing w:after="160" w:line="276"/>
        <w:ind w:left="567"/>
      </w:pPr>
      <w:r>
        <w:rPr>
          <w:rFonts w:ascii="Atkinson Hyperlegible" w:cs="Atkinson Hyperlegible" w:eastAsia="Atkinson Hyperlegible" w:hAnsi="Atkinson Hyperlegible"/>
          <w:b w:val="false"/>
          <w:bCs w:val="false"/>
          <w:i w:val="false"/>
          <w:iCs w:val="false"/>
          <w:sz w:val="22"/>
          <w:szCs w:val="22"/>
        </w:rPr>
        <w:t xml:space="preserve">The ruling that α is not the three written channels (§7).</w:t>
      </w:r>
    </w:p>
    <w:p>
      <w:pPr>
        <w:spacing w:after="160" w:line="276"/>
      </w:pPr>
      <w:r>
        <w:rPr>
          <w:rFonts w:ascii="Atkinson Hyperlegible" w:cs="Atkinson Hyperlegible" w:eastAsia="Atkinson Hyperlegible" w:hAnsi="Atkinson Hyperlegible"/>
          <w:b w:val="false"/>
          <w:bCs w:val="false"/>
          <w:i w:val="false"/>
          <w:iCs w:val="false"/>
          <w:sz w:val="22"/>
          <w:szCs w:val="22"/>
        </w:rPr>
        <w:t xml:space="preserve">Two further desk decisions are structural and carry more weight than those four.</w:t>
      </w:r>
    </w:p>
    <w:p>
      <w:pPr>
        <w:spacing w:after="160" w:line="276"/>
        <w:ind w:left="567"/>
      </w:pPr>
      <w:r>
        <w:rPr>
          <w:rFonts w:ascii="Atkinson Hyperlegible" w:cs="Atkinson Hyperlegible" w:eastAsia="Atkinson Hyperlegible" w:hAnsi="Atkinson Hyperlegible"/>
          <w:b w:val="false"/>
          <w:bCs w:val="false"/>
          <w:i w:val="false"/>
          <w:iCs w:val="false"/>
          <w:sz w:val="22"/>
          <w:szCs w:val="22"/>
        </w:rPr>
        <w:t xml:space="preserve">§6's caging. The paper had claimed that AP01's selection-rate bound and AP28's window count meet at one line, neither written for the other, and called that a consistency. The desk withdrew that reading: from G, the electron's mass, the action and the speed exactly one dimensionless quantity can be formed, so any gravitational statement at that scale is forced to produce it. The agreement is arithmetic. What is claimed now is only coherence — that the corpus is not carrying two gravitational scales for the electron. Check whether even that is worth saying.</w:t>
      </w:r>
    </w:p>
    <w:p>
      <w:pPr>
        <w:spacing w:after="160" w:line="276"/>
        <w:ind w:left="567"/>
      </w:pPr>
      <w:r>
        <w:rPr>
          <w:rFonts w:ascii="Atkinson Hyperlegible" w:cs="Atkinson Hyperlegible" w:eastAsia="Atkinson Hyperlegible" w:hAnsi="Atkinson Hyperlegible"/>
          <w:b w:val="false"/>
          <w:bCs w:val="false"/>
          <w:i w:val="false"/>
          <w:iCs w:val="false"/>
          <w:sz w:val="22"/>
          <w:szCs w:val="22"/>
        </w:rPr>
        <w:t xml:space="preserve">§10's bound, under “Why the eleven close together.” This is the one genuinely new structural argument in the paper. It is stated as a standard bound on polynomial roots and it is the reason five of the eleven roads close for the same reason rather than five reasons. If it is wrong, §10 loses its spine and reverts to a list. Appendix A carries the arithmetic. Attack it there.</w:t>
      </w:r>
    </w:p>
    <w:p>
      <w:pPr>
        <w:pStyle w:val="Heading2"/>
        <w:spacing w:after="200" w:before="420"/>
      </w:pPr>
      <w:r>
        <w:rPr>
          <w:rFonts w:ascii="Atkinson Hyperlegible" w:cs="Atkinson Hyperlegible" w:eastAsia="Atkinson Hyperlegible" w:hAnsi="Atkinson Hyperlegible"/>
          <w:b/>
          <w:bCs/>
          <w:color w:val="000000"/>
          <w:sz w:val="24"/>
          <w:szCs w:val="24"/>
        </w:rPr>
        <w:t xml:space="preserve">Where the attack is most useful</w:t>
      </w:r>
    </w:p>
    <w:p>
      <w:pPr>
        <w:spacing w:after="160" w:line="276"/>
      </w:pPr>
      <w:r>
        <w:rPr>
          <w:rFonts w:ascii="Atkinson Hyperlegible" w:cs="Atkinson Hyperlegible" w:eastAsia="Atkinson Hyperlegible" w:hAnsi="Atkinson Hyperlegible"/>
          <w:b/>
          <w:bCs/>
          <w:i w:val="false"/>
          <w:iCs w:val="false"/>
          <w:sz w:val="22"/>
          <w:szCs w:val="22"/>
        </w:rPr>
        <w:t xml:space="preserve">First, the bound.</w:t>
      </w:r>
      <w:r>
        <w:rPr>
          <w:rFonts w:ascii="Atkinson Hyperlegible" w:cs="Atkinson Hyperlegible" w:eastAsia="Atkinson Hyperlegible" w:hAnsi="Atkinson Hyperlegible"/>
          <w:b w:val="false"/>
          <w:bCs w:val="false"/>
          <w:i w:val="false"/>
          <w:iCs w:val="false"/>
          <w:sz w:val="22"/>
          <w:szCs w:val="22"/>
        </w:rPr>
        <w:t xml:space="preserve"> Is the closure watertight? The claim is that an equation in the coupling whose terms are powers of it and whose coefficients are the picture's counts cannot have a root at one part in a hundred and thirty-seven unless a coefficient ratio is already there. The desk checked the corpus's own counts against it rather than assuming: the nearest is sixteen over eighteen hundred and thirty-six, a fifth too large. Find a counter-case, or find a coefficient the desk did not consider, and the section changes.</w:t>
      </w:r>
    </w:p>
    <w:p>
      <w:pPr>
        <w:spacing w:after="160" w:line="276"/>
      </w:pPr>
      <w:r>
        <w:rPr>
          <w:rFonts w:ascii="Atkinson Hyperlegible" w:cs="Atkinson Hyperlegible" w:eastAsia="Atkinson Hyperlegible" w:hAnsi="Atkinson Hyperlegible"/>
          <w:b/>
          <w:bCs/>
          <w:i w:val="false"/>
          <w:iCs w:val="false"/>
          <w:sz w:val="22"/>
          <w:szCs w:val="22"/>
        </w:rPr>
        <w:t xml:space="preserve">Second, the register's completeness.</w:t>
      </w:r>
      <w:r>
        <w:rPr>
          <w:rFonts w:ascii="Atkinson Hyperlegible" w:cs="Atkinson Hyperlegible" w:eastAsia="Atkinson Hyperlegible" w:hAnsi="Atkinson Hyperlegible"/>
          <w:b w:val="false"/>
          <w:bCs w:val="false"/>
          <w:i w:val="false"/>
          <w:iCs w:val="false"/>
          <w:sz w:val="22"/>
          <w:szCs w:val="22"/>
        </w:rPr>
        <w:t xml:space="preserve"> Eleven roads are listed. Is there a twelfth that has been walked inside the corpus and is not on the list? A road omitted is worse than a road badly closed, because the point of §10 is that no road gets walked twice.</w:t>
      </w:r>
    </w:p>
    <w:p>
      <w:pPr>
        <w:spacing w:after="160" w:line="276"/>
      </w:pPr>
      <w:r>
        <w:rPr>
          <w:rFonts w:ascii="Atkinson Hyperlegible" w:cs="Atkinson Hyperlegible" w:eastAsia="Atkinson Hyperlegible" w:hAnsi="Atkinson Hyperlegible"/>
          <w:b/>
          <w:bCs/>
          <w:i w:val="false"/>
          <w:iCs w:val="false"/>
          <w:sz w:val="22"/>
          <w:szCs w:val="22"/>
        </w:rPr>
        <w:t xml:space="preserve">Third, the closures one by one.</w:t>
      </w:r>
      <w:r>
        <w:rPr>
          <w:rFonts w:ascii="Atkinson Hyperlegible" w:cs="Atkinson Hyperlegible" w:eastAsia="Atkinson Hyperlegible" w:hAnsi="Atkinson Hyperlegible"/>
          <w:b w:val="false"/>
          <w:bCs w:val="false"/>
          <w:i w:val="false"/>
          <w:iCs w:val="false"/>
          <w:sz w:val="22"/>
          <w:szCs w:val="22"/>
        </w:rPr>
        <w:t xml:space="preserve"> Each road states a reason. Roads Three, Four and Five rest on arithmetic that is fully written out in Appendix A and was recomputed at the desk from the formulas rather than carried across. Roads Seven, Eight and Nine rest on structural arguments. Road Nine rests on two pairings in two locked papers, AP10 §5.1 and AP45 §6, which the desk verified are different relations and not rival readings; their composition gives two three-cycles, not one six-cycle, and the appendix writes the permutation out.</w:t>
      </w:r>
    </w:p>
    <w:p>
      <w:pPr>
        <w:spacing w:after="160" w:line="276"/>
      </w:pPr>
      <w:r>
        <w:rPr>
          <w:rFonts w:ascii="Atkinson Hyperlegible" w:cs="Atkinson Hyperlegible" w:eastAsia="Atkinson Hyperlegible" w:hAnsi="Atkinson Hyperlegible"/>
          <w:b/>
          <w:bCs/>
          <w:i w:val="false"/>
          <w:iCs w:val="false"/>
          <w:sz w:val="22"/>
          <w:szCs w:val="22"/>
        </w:rPr>
        <w:t xml:space="preserve">Fourth, §3 and its switch.</w:t>
      </w:r>
      <w:r>
        <w:rPr>
          <w:rFonts w:ascii="Atkinson Hyperlegible" w:cs="Atkinson Hyperlegible" w:eastAsia="Atkinson Hyperlegible" w:hAnsi="Atkinson Hyperlegible"/>
          <w:b w:val="false"/>
          <w:bCs w:val="false"/>
          <w:i w:val="false"/>
          <w:iCs w:val="false"/>
          <w:sz w:val="22"/>
          <w:szCs w:val="22"/>
        </w:rPr>
        <w:t xml:space="preserve"> KS-ALPHA.1 says the two views read one cut fraction and differ by exactly one grain per now and by nothing more. It is armed at lock and it does not know the number. Is the claim tight enough to fire, and is the recovery stated correctly?</w:t>
      </w:r>
    </w:p>
    <w:p>
      <w:pPr>
        <w:spacing w:after="160" w:line="276"/>
      </w:pPr>
      <w:r>
        <w:rPr>
          <w:rFonts w:ascii="Atkinson Hyperlegible" w:cs="Atkinson Hyperlegible" w:eastAsia="Atkinson Hyperlegible" w:hAnsi="Atkinson Hyperlegible"/>
          <w:b/>
          <w:bCs/>
          <w:i w:val="false"/>
          <w:iCs w:val="false"/>
          <w:sz w:val="22"/>
          <w:szCs w:val="22"/>
        </w:rPr>
        <w:t xml:space="preserve">Fifth, the physics register.</w:t>
      </w:r>
      <w:r>
        <w:rPr>
          <w:rFonts w:ascii="Atkinson Hyperlegible" w:cs="Atkinson Hyperlegible" w:eastAsia="Atkinson Hyperlegible" w:hAnsi="Atkinson Hyperlegible"/>
          <w:b w:val="false"/>
          <w:bCs w:val="false"/>
          <w:i w:val="false"/>
          <w:iCs w:val="false"/>
          <w:sz w:val="22"/>
          <w:szCs w:val="22"/>
        </w:rPr>
        <w:t xml:space="preserve"> The paper is written for a reader who knows that α runs. §3 says the invariance is across windows at one now and not across energies; §0.8 refuses the Planck normalisation; D-EM.1 is named and left open. Check that no sentence anywhere can be read as claiming α does not run.</w:t>
      </w:r>
    </w:p>
    <w:p>
      <w:pPr>
        <w:pStyle w:val="Heading2"/>
        <w:spacing w:after="200" w:before="420"/>
      </w:pPr>
      <w:r>
        <w:rPr>
          <w:rFonts w:ascii="Atkinson Hyperlegible" w:cs="Atkinson Hyperlegible" w:eastAsia="Atkinson Hyperlegible" w:hAnsi="Atkinson Hyperlegible"/>
          <w:b/>
          <w:bCs/>
          <w:color w:val="000000"/>
          <w:sz w:val="24"/>
          <w:szCs w:val="24"/>
        </w:rPr>
        <w:t xml:space="preserve">Out of scope</w:t>
      </w:r>
    </w:p>
    <w:p>
      <w:pPr>
        <w:spacing w:after="160" w:line="276"/>
      </w:pPr>
      <w:r>
        <w:rPr>
          <w:rFonts w:ascii="Atkinson Hyperlegible" w:cs="Atkinson Hyperlegible" w:eastAsia="Atkinson Hyperlegible" w:hAnsi="Atkinson Hyperlegible"/>
          <w:b w:val="false"/>
          <w:bCs w:val="false"/>
          <w:i w:val="false"/>
          <w:iCs w:val="false"/>
          <w:sz w:val="22"/>
          <w:szCs w:val="22"/>
        </w:rPr>
        <w:t xml:space="preserve">Any proposal of a value, a formula, or a combination of the counts that lands near the number. The paper refuses these in §0.8 and §11, and a reviewer supplying one would be entering the register of §11 rather than reviewing the paper. If you believe you have a route, say what its second scale is and where it comes from, and say it before computing anything.</w:t>
      </w:r>
    </w:p>
    <w:p>
      <w:pPr>
        <w:spacing w:after="160" w:line="276"/>
      </w:pPr>
      <w:r>
        <w:rPr>
          <w:rFonts w:ascii="Atkinson Hyperlegible" w:cs="Atkinson Hyperlegible" w:eastAsia="Atkinson Hyperlegible" w:hAnsi="Atkinson Hyperlegible"/>
          <w:b w:val="false"/>
          <w:bCs w:val="false"/>
          <w:i w:val="false"/>
          <w:iCs w:val="false"/>
          <w:sz w:val="22"/>
          <w:szCs w:val="22"/>
        </w:rPr>
        <w:t xml:space="preserve">The entropy identification of §9. It is the author's ruling, it is registered beside KS-42.6, and no argument in the paper depends on it. Its own reckoning belongs to AP42's register and to a future paper.</w:t>
      </w:r>
    </w:p>
    <w:p>
      <w:pPr>
        <w:spacing w:after="160" w:line="276"/>
      </w:pPr>
      <w:r>
        <w:rPr>
          <w:rFonts w:ascii="Atkinson Hyperlegible" w:cs="Atkinson Hyperlegible" w:eastAsia="Atkinson Hyperlegible" w:hAnsi="Atkinson Hyperlegible"/>
          <w:b w:val="false"/>
          <w:bCs w:val="false"/>
          <w:i w:val="false"/>
          <w:iCs w:val="false"/>
          <w:sz w:val="22"/>
          <w:szCs w:val="22"/>
        </w:rPr>
        <w:t xml:space="preserve">Anything that would move a locked number. Nothing in this paper does, and nothing in a review of it should.</w:t>
      </w:r>
    </w:p>
    <w:p>
      <w:pPr>
        <w:pStyle w:val="Heading2"/>
        <w:spacing w:after="200" w:before="420"/>
      </w:pPr>
      <w:r>
        <w:rPr>
          <w:rFonts w:ascii="Atkinson Hyperlegible" w:cs="Atkinson Hyperlegible" w:eastAsia="Atkinson Hyperlegible" w:hAnsi="Atkinson Hyperlegible"/>
          <w:b/>
          <w:bCs/>
          <w:color w:val="000000"/>
          <w:sz w:val="24"/>
          <w:szCs w:val="24"/>
        </w:rPr>
        <w:t xml:space="preserve">Known open items, so they are not reported as findings</w:t>
      </w:r>
    </w:p>
    <w:p>
      <w:pPr>
        <w:spacing w:after="160" w:line="276"/>
      </w:pPr>
      <w:r>
        <w:rPr>
          <w:rFonts w:ascii="Atkinson Hyperlegible" w:cs="Atkinson Hyperlegible" w:eastAsia="Atkinson Hyperlegible" w:hAnsi="Atkinson Hyperlegible"/>
          <w:b w:val="false"/>
          <w:bCs w:val="false"/>
          <w:i w:val="false"/>
          <w:iCs w:val="false"/>
          <w:sz w:val="22"/>
          <w:szCs w:val="22"/>
        </w:rPr>
        <w:t xml:space="preserve">Which boundary's η is the structural one — held open at §0.7 on the author's ruling, deliberately not booked as a debt.</w:t>
      </w:r>
    </w:p>
    <w:p>
      <w:pPr>
        <w:spacing w:after="160" w:line="276"/>
      </w:pPr>
      <w:r>
        <w:rPr>
          <w:rFonts w:ascii="Atkinson Hyperlegible" w:cs="Atkinson Hyperlegible" w:eastAsia="Atkinson Hyperlegible" w:hAnsi="Atkinson Hyperlegible"/>
          <w:b w:val="false"/>
          <w:bCs w:val="false"/>
          <w:i w:val="false"/>
          <w:iCs w:val="false"/>
          <w:sz w:val="22"/>
          <w:szCs w:val="22"/>
        </w:rPr>
        <w:t xml:space="preserve">D1 and D-EM.1 — unchanged, unpaid, unnarrowed, and the paper says so.</w:t>
      </w:r>
    </w:p>
    <w:p>
      <w:pPr>
        <w:spacing w:after="160" w:line="276"/>
      </w:pPr>
      <w:r>
        <w:rPr>
          <w:rFonts w:ascii="Atkinson Hyperlegible" w:cs="Atkinson Hyperlegible" w:eastAsia="Atkinson Hyperlegible" w:hAnsi="Atkinson Hyperlegible"/>
          <w:b w:val="false"/>
          <w:bCs w:val="false"/>
          <w:i w:val="false"/>
          <w:iCs w:val="false"/>
          <w:sz w:val="22"/>
          <w:szCs w:val="22"/>
        </w:rPr>
        <w:t xml:space="preserve">The three words for one object — window, gate, door — reconciled in §0.9 and left as vocabulary.</w:t>
      </w:r>
    </w:p>
    <w:p>
      <w:pPr>
        <w:spacing w:after="160" w:line="276"/>
      </w:pPr>
      <w:r>
        <w:rPr>
          <w:rFonts w:ascii="Atkinson Hyperlegible" w:cs="Atkinson Hyperlegible" w:eastAsia="Atkinson Hyperlegible" w:hAnsi="Atkinson Hyperlegible"/>
          <w:b w:val="false"/>
          <w:bCs w:val="false"/>
          <w:i w:val="false"/>
          <w:iCs w:val="false"/>
          <w:sz w:val="22"/>
          <w:szCs w:val="22"/>
        </w:rPr>
        <w:t xml:space="preserve">The dated notes of §13 — drafted, not yet booked.</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tkinson Hyperlegible" w:cs="Atkinson Hyperlegible" w:eastAsia="Atkinson Hyperlegible" w:hAnsi="Atkinson Hyperlegibl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AP54 Seeing Alpha — Reviewer Brief</dc:title>
  <dc:creator>Studio G</dc:creator>
  <dc:description>Reviewer brief beside AP54 v0.4</dc:description>
  <cp:lastModifiedBy>Un-named</cp:lastModifiedBy>
  <cp:revision>1</cp:revision>
  <dcterms:created xsi:type="dcterms:W3CDTF">2026-09-12T18:01:46.506Z</dcterms:created>
  <dcterms:modified xsi:type="dcterms:W3CDTF">2026-09-12T18:01:46.506Z</dcterms:modified>
</cp:coreProperties>
</file>

<file path=docProps/custom.xml><?xml version="1.0" encoding="utf-8"?>
<Properties xmlns="http://schemas.openxmlformats.org/officeDocument/2006/custom-properties" xmlns:vt="http://schemas.openxmlformats.org/officeDocument/2006/docPropsVTypes"/>
</file>