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Atkinson Hyperlegible" w:cs="Atkinson Hyperlegible" w:eastAsia="Atkinson Hyperlegible" w:hAnsi="Atkinson Hyperlegible"/>
          <w:b/>
          <w:bCs/>
          <w:sz w:val="36"/>
          <w:szCs w:val="36"/>
        </w:rPr>
        <w:t xml:space="preserve">AP54 § 10 — What Does Not Derive It</w:t>
      </w:r>
    </w:p>
    <w:p>
      <w:pPr>
        <w:spacing w:after="160" w:before="0" w:line="276"/>
        <w:jc w:val="left"/>
      </w:pPr>
      <w:r>
        <w:rPr>
          <w:rFonts w:ascii="Atkinson Hyperlegible" w:cs="Atkinson Hyperlegible" w:eastAsia="Atkinson Hyperlegible" w:hAnsi="Atkinson Hyperlegible"/>
          <w:b w:val="false"/>
          <w:bCs w:val="false"/>
          <w:i/>
          <w:iCs/>
          <w:sz w:val="22"/>
          <w:szCs w:val="22"/>
        </w:rPr>
        <w:t xml:space="preserve">FINAL. The register of every road to α's value that has been walked inside the corpus, the locus of each, the reason it closes — and the one reason they close together.</w:t>
      </w:r>
    </w:p>
    <w:p>
      <w:pPr>
        <w:spacing w:after="160" w:before="0" w:line="276"/>
        <w:jc w:val="left"/>
      </w:pPr>
      <w:r>
        <w:rPr>
          <w:rFonts w:ascii="Atkinson Hyperlegible" w:cs="Atkinson Hyperlegible" w:eastAsia="Atkinson Hyperlegible" w:hAnsi="Atkinson Hyperlegible"/>
          <w:b w:val="false"/>
          <w:bCs w:val="false"/>
          <w:i/>
          <w:iCs/>
          <w:sz w:val="22"/>
          <w:szCs w:val="22"/>
        </w:rPr>
        <w:t xml:space="preserve">Desk document, 12 September 2026. Drop-in for AP54 §10, replacing the v0.2 section entire. Every figure was re-derived at the desk from the formulas, not copied. The two audit marks on the pairings are closed against AP10 The Dimension FINAL and AP45 The Blink FINAL v1.7. No number in any other paper moves.</w:t>
      </w:r>
    </w:p>
    <w:p>
      <w:pPr>
        <w:pStyle w:val="Heading2"/>
        <w:spacing w:after="240" w:before="480"/>
      </w:pPr>
      <w:r>
        <w:rPr>
          <w:rFonts w:ascii="Atkinson Hyperlegible" w:cs="Atkinson Hyperlegible" w:eastAsia="Atkinson Hyperlegible" w:hAnsi="Atkinson Hyperlegible"/>
          <w:b/>
          <w:bCs/>
          <w:color w:val="000000"/>
          <w:sz w:val="24"/>
          <w:szCs w:val="24"/>
        </w:rPr>
        <w:t xml:space="preserve">The rule</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This section is the register of every road to α's value that has been walked inside the corpus, with the locus of each and the reason it closes, so that no road is walked twice. One rule governed every road: nature decides, not arithmetic. No road was allowed to end in a search over functions of the counts. Where a small set of candidates was tried and reported negative, the set is named so that it stays closed.</w:t>
      </w:r>
    </w:p>
    <w:p>
      <w:pPr>
        <w:pStyle w:val="Heading2"/>
        <w:spacing w:after="240" w:before="480"/>
      </w:pPr>
      <w:r>
        <w:rPr>
          <w:rFonts w:ascii="Atkinson Hyperlegible" w:cs="Atkinson Hyperlegible" w:eastAsia="Atkinson Hyperlegible" w:hAnsi="Atkinson Hyperlegible"/>
          <w:b/>
          <w:bCs/>
          <w:color w:val="000000"/>
          <w:sz w:val="24"/>
          <w:szCs w:val="24"/>
        </w:rPr>
        <w:t xml:space="preserve">The eleven roads</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One. The partition. </w:t>
      </w:r>
      <w:r>
        <w:rPr>
          <w:rFonts w:ascii="Atkinson Hyperlegible" w:cs="Atkinson Hyperlegible" w:eastAsia="Atkinson Hyperlegible" w:hAnsi="Atkinson Hyperlegible"/>
          <w:b w:val="false"/>
          <w:bCs w:val="false"/>
          <w:i w:val="false"/>
          <w:iCs w:val="false"/>
          <w:sz w:val="22"/>
          <w:szCs w:val="22"/>
        </w:rPr>
        <w:t xml:space="preserve">AP42 builds the dark partition from the six, the twenty-one, and an exponential of their ratio. The wall's verification code has no α in it. Reading α off the partition is therefore not circular, and there is no α there to read. The partition is a ratio of times; a ratio of times cannot give a rate. Closed.</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Two. The count. </w:t>
      </w:r>
      <w:r>
        <w:rPr>
          <w:rFonts w:ascii="Atkinson Hyperlegible" w:cs="Atkinson Hyperlegible" w:eastAsia="Atkinson Hyperlegible" w:hAnsi="Atkinson Hyperlegible"/>
          <w:b w:val="false"/>
          <w:bCs w:val="false"/>
          <w:i w:val="false"/>
          <w:iCs w:val="false"/>
          <w:sz w:val="22"/>
          <w:szCs w:val="22"/>
        </w:rPr>
        <w:t xml:space="preserve">AP45 §6 rules it inside the family already: the channel counts are geometry, fenced from arithmetic, generating no fraction, and connected to nothing they do not name. That is a locked ruling and it is the primary citation here. Beyond it: every pure number the corpus produces is a count or a shape, and one hundred and thirty-seven is neither. KS-30.4's between-family search found 2,971 five-leaf formulas at the proton's accuracy; this paper adds α to no such list. The four invariants of the event graph and the held graph — the square roots of twenty-one and eighteen, and the line-graph radii eight and seven — were tried and none is near α; that set is closed and no further invariant will be tried. Edge-on there are no counts (§7). Closed by rule.</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Three. The cycle turned round. </w:t>
      </w:r>
      <w:r>
        <w:rPr>
          <w:rFonts w:ascii="Atkinson Hyperlegible" w:cs="Atkinson Hyperlegible" w:eastAsia="Atkinson Hyperlegible" w:hAnsi="Atkinson Hyperlegible"/>
          <w:b w:val="false"/>
          <w:bCs w:val="false"/>
          <w:i w:val="false"/>
          <w:iCs w:val="false"/>
          <w:sz w:val="22"/>
          <w:szCs w:val="22"/>
        </w:rPr>
        <w:t xml:space="preserve">AP46 §9 gives one cycle as (21/18)·α⁻¹⁸ ticks. Read backward on the measured age it gives α to about 80 ppm, sitting 173 ppm above the measured value; the proton row needs α to about 0.2 ppm. Circular — the corpus gets the age from α — and four hundred times too coarse if it were not. Closed.</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Four. Gravity read back. </w:t>
      </w:r>
      <w:r>
        <w:rPr>
          <w:rFonts w:ascii="Atkinson Hyperlegible" w:cs="Atkinson Hyperlegible" w:eastAsia="Atkinson Hyperlegible" w:hAnsi="Atkinson Hyperlegible"/>
          <w:b w:val="false"/>
          <w:bCs w:val="false"/>
          <w:i w:val="false"/>
          <w:iCs w:val="false"/>
          <w:sz w:val="22"/>
          <w:szCs w:val="22"/>
        </w:rPr>
        <w:t xml:space="preserve">G mₑ²/ℏc is AP28's object and AP44's realised formula; The Lock's G = 2κ/mₑ² is the same equation by the bridge 2κ = α²¹(1+1/π)ℏc/(1+α), and the bridge is tautological in AP08's own words (§5.1: the coefficient has been relabelled, not independently derived; KS-I.3, KS-I.4). Read backward on measured G it gives α to about 1 ppm, 17 ppm above the measured value — the G row's −16σ wearing α's units. Taking G as the one measured input is legal and buys nothing. Closed.</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Five. Gravity against the clock. </w:t>
      </w:r>
      <w:r>
        <w:rPr>
          <w:rFonts w:ascii="Atkinson Hyperlegible" w:cs="Atkinson Hyperlegible" w:eastAsia="Atkinson Hyperlegible" w:hAnsi="Atkinson Hyperlegible"/>
          <w:b w:val="false"/>
          <w:bCs w:val="false"/>
          <w:i w:val="false"/>
          <w:iCs w:val="false"/>
          <w:sz w:val="22"/>
          <w:szCs w:val="22"/>
        </w:rPr>
        <w:t xml:space="preserve">Eliminate α between AP44 and AP46 and a relation remains between G and the age with no α in it, exponent 21/18. It is the two rows multiplied: fed the measured age it returns G 0.33 per cent high; fed measured G it returns the age 0.28 per cent high, the age row's +2.1σ unchanged. It creates no test the two rows did not already carry, and it loses the attribution they keep. KS-CCC.3 and KS-STRETCH.3 own it; it is not a switch of its own. It is a large-number relation with a structural exponent; T is the cycle, a constant, so G does not drift. Closed as a road; recorded as a relation, with one property the separate rows do not have — it holds whatever the coupling is, so it tests the common rate without assuming the rate is the electromagnetic one, which is D-EM.1's question asked from the side.</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Six. The holder recursion. </w:t>
      </w:r>
      <w:r>
        <w:rPr>
          <w:rFonts w:ascii="Atkinson Hyperlegible" w:cs="Atkinson Hyperlegible" w:eastAsia="Atkinson Hyperlegible" w:hAnsi="Atkinson Hyperlegible"/>
          <w:b w:val="false"/>
          <w:bCs w:val="false"/>
          <w:i w:val="false"/>
          <w:iCs w:val="false"/>
          <w:sz w:val="22"/>
          <w:szCs w:val="22"/>
        </w:rPr>
        <w:t xml:space="preserve">AP49's chain, C = 21α + (16α/1836)·C, prices a unique total cost for every coupling and prefers none; the closed form reproduces the proton at +0.59σ for α as measured and a different proton for any other α. Closed.</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Seven. The drip. </w:t>
      </w:r>
      <w:r>
        <w:rPr>
          <w:rFonts w:ascii="Atkinson Hyperlegible" w:cs="Atkinson Hyperlegible" w:eastAsia="Atkinson Hyperlegible" w:hAnsi="Atkinson Hyperlegible"/>
          <w:b w:val="false"/>
          <w:bCs w:val="false"/>
          <w:i w:val="false"/>
          <w:iCs w:val="false"/>
          <w:sz w:val="22"/>
          <w:szCs w:val="22"/>
        </w:rPr>
        <w:t xml:space="preserve">Let each opportunity admit one grain or none, w the load of one grain, ℓ the maintenance per opportunity. A bounded store forces the admission fraction ℓ/w — too much and the load climbs, too little and it drains, the tipping picture in one line. It selects the fraction once ℓ and w are fixed by different things. They are not: in the corpus both carry the coupling, so the condition reduces to an identity in it. The author rules the flow-quantum one whole grain per now from the side, at the same rate per window; the cut's share of the rope is then the rope's length, which is the bracket. Closed on the author's word and on the identity together.</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Eight. The floor. </w:t>
      </w:r>
      <w:r>
        <w:rPr>
          <w:rFonts w:ascii="Atkinson Hyperlegible" w:cs="Atkinson Hyperlegible" w:eastAsia="Atkinson Hyperlegible" w:hAnsi="Atkinson Hyperlegible"/>
          <w:b w:val="false"/>
          <w:bCs w:val="false"/>
          <w:i w:val="false"/>
          <w:iCs w:val="false"/>
          <w:sz w:val="22"/>
          <w:szCs w:val="22"/>
        </w:rPr>
        <w:t xml:space="preserve">AP06 §7.2 derives that the leak is positive, because finite c forbids perfect absorption, and identifies the value with the measured leakage, and says so. A field calculation of readability — the least error in telling two charged sources apart from their field record — confirms it: with unbounded repetition every positive coupling reaches any tolerance. A threshold above zero needs a resource rule and a tolerance; neither is in the corpus, and a resource rule taken from the hold would carry the coupling in it and select nothing. AP12 §1.3 is the same shape for ℏ: minimality pins the unit, not the value. Closed at zero.</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Nine. The fixed point. </w:t>
      </w:r>
      <w:r>
        <w:rPr>
          <w:rFonts w:ascii="Atkinson Hyperlegible" w:cs="Atkinson Hyperlegible" w:eastAsia="Atkinson Hyperlegible" w:hAnsi="Atkinson Hyperlegible"/>
          <w:b w:val="false"/>
          <w:bCs w:val="false"/>
          <w:i w:val="false"/>
          <w:iCs w:val="false"/>
          <w:sz w:val="22"/>
          <w:szCs w:val="22"/>
        </w:rPr>
        <w:t xml:space="preserve">AP24 §4.3 names ε = f(ε). The six faces of the residual carry two pairings, both locked, and they are not rival readings of one relation — they are two relations, each derived for its own work. AP10 §5.1 pairs by axis: G with c, the substrate stiffness with α_em, mₑ with t, the residual's cross-check on 3+1. AP45 §6 pairs by side: mₑ with G, α with c, the substrate with τ, the balance partition that gives ten and ten plus the one. Composed, the two close the six into two three-cycles — G to α to t, and c to mₑ to the substrate. Every arrow in both is a translation between readings of one object, so each cycle composes to the identity and every coupling is a fixed point; AP24 §3.1 calls the relations tautologies and is right. An explicit family shows it: for any q define ε₀(q), κ(q), G(q) from q and every displayed relation holds. Closed until one arrow is a law.</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Ten. The earlier thread. </w:t>
      </w:r>
      <w:r>
        <w:rPr>
          <w:rFonts w:ascii="Atkinson Hyperlegible" w:cs="Atkinson Hyperlegible" w:eastAsia="Atkinson Hyperlegible" w:hAnsi="Atkinson Hyperlegible"/>
          <w:b w:val="false"/>
          <w:bCs w:val="false"/>
          <w:i w:val="false"/>
          <w:iCs w:val="false"/>
          <w:sz w:val="22"/>
          <w:szCs w:val="22"/>
        </w:rPr>
        <w:t xml:space="preserve">From the author's private notes. τ × t_H × α = 0.999, a tautology. V × t_H = 1, the construction. (V+D)/α = 2t_H plus 1.6 per cent with no source. A race between c and G giving 137, off by forty orders. 1/α ≈ t_H + τ(t_H−1)(1−e^(−t_H/τ)) at 137.376, the form chosen after it landed. The same with −1/3 at 2 ppm, the 1/3 having three sources and therefore none. And α = cycle + black-hole leakage → expansion, closing on magnitude (the horizon leakage is 10⁻¹⁷, AP06 §1), on category, and on α's absence from the partition. All withdrawn on the prior-derivation test. Closed.</w:t>
      </w:r>
    </w:p>
    <w:p>
      <w:pPr>
        <w:spacing w:after="160" w:before="0" w:line="276"/>
        <w:jc w:val="left"/>
      </w:pPr>
      <w:r>
        <w:rPr>
          <w:rFonts w:ascii="Atkinson Hyperlegible" w:cs="Atkinson Hyperlegible" w:eastAsia="Atkinson Hyperlegible" w:hAnsi="Atkinson Hyperlegible"/>
          <w:b/>
          <w:bCs/>
          <w:i w:val="false"/>
          <w:iCs w:val="false"/>
          <w:sz w:val="22"/>
          <w:szCs w:val="22"/>
        </w:rPr>
        <w:t xml:space="preserve">Eleven. The material face. </w:t>
      </w:r>
      <w:r>
        <w:rPr>
          <w:rFonts w:ascii="Atkinson Hyperlegible" w:cs="Atkinson Hyperlegible" w:eastAsia="Atkinson Hyperlegible" w:hAnsi="Atkinson Hyperlegible"/>
          <w:b w:val="false"/>
          <w:bCs w:val="false"/>
          <w:i w:val="false"/>
          <w:iCs w:val="false"/>
          <w:sz w:val="22"/>
          <w:szCs w:val="22"/>
        </w:rPr>
        <w:t xml:space="preserve">Two stiffnesses whose ratio is c² admit two independent combinations; the electromagnetic vacuum reads the second as an impedance, and α is that reading in the grain's units. The impedance reading cannot be turned into a measurement route: since the 2019 redefinition the elementary charge and ℏ are exact, so the resistance quantum is exact and the vacuum impedance is known only as well as α is known, being proportional to it. Reading α out of it returns what was put in. Asked whether the picture reads a second thing from the two stiffnesses, the author answered with the axiom's balance and its one-grain residual, and named no second reading. Closed on the author's word, and closed as a route by the definitions.</w:t>
      </w:r>
    </w:p>
    <w:p>
      <w:pPr>
        <w:pStyle w:val="Heading2"/>
        <w:spacing w:after="240" w:before="480"/>
      </w:pPr>
      <w:r>
        <w:rPr>
          <w:rFonts w:ascii="Atkinson Hyperlegible" w:cs="Atkinson Hyperlegible" w:eastAsia="Atkinson Hyperlegible" w:hAnsi="Atkinson Hyperlegible"/>
          <w:b/>
          <w:bCs/>
          <w:color w:val="000000"/>
          <w:sz w:val="24"/>
          <w:szCs w:val="24"/>
        </w:rPr>
        <w:t xml:space="preserve">Why the eleven close together</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The roads close for eleven stated reasons. They also close for one, and the one is worth more than the eleven, because eleven separate failures read as bad luck and a single reason reads as a result.</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Every condition proposed in the hunt has the same form. It is an equation in the unknown coupling whose terms are powers of it, and whose coefficients are counts and shapes of the picture — the three, the four, the six, the sixteen, the eighteen, the twenty-one, the eighteen hundred and thirty-six, π, one plus one over π.</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An equation of that form cannot have a root where α is, unless one of its coefficient ratios is already there.</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The reason is a standard bound on the roots of a polynomial. Every root lies below one plus the largest coefficient divided by the leading one, and above the constant term divided by the sum of the constant term and the largest other coefficient. When every coefficient is of order one, both bounds are of order one. So every root is of order one — the smallest as well as the largest. To seat a root at one part in a hundred and thirty-seven, some ratio of coefficients must itself be of that size, and that ratio is the thing being derived.</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This is why the tipping condition selects nothing, why the holder recursion prefers no coupling, why the readability threshold sits at zero, why the fixed point is every point, and why the graph invariants came out near a fifth and an eighth. It was not five failures. It was one failure, five times, and the same one.</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The corpus's own counts are checked against the bound rather than assumed to fail it. The nearest ratio any pair of them makes to α is sixteen over eighteen hundred and thirty-six, which is a fifth too large. That is dead at the proton's bar by an astronomical margin and dead at every other bar the corpus uses. No other pair comes nearer. Building one by combining counts is the class closed by rule at Road Two and refused by the author.</w:t>
      </w:r>
    </w:p>
    <w:p>
      <w:pPr>
        <w:pStyle w:val="Heading2"/>
        <w:spacing w:after="240" w:before="480"/>
      </w:pPr>
      <w:r>
        <w:rPr>
          <w:rFonts w:ascii="Atkinson Hyperlegible" w:cs="Atkinson Hyperlegible" w:eastAsia="Atkinson Hyperlegible" w:hAnsi="Atkinson Hyperlegible"/>
          <w:b/>
          <w:bCs/>
          <w:color w:val="000000"/>
          <w:sz w:val="24"/>
          <w:szCs w:val="24"/>
        </w:rPr>
        <w:t xml:space="preserve">What a live route would have to contain</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The bound closes equations built from powers. It says nothing about equations that are not.</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One family of functions turns quantities of order one into quantities of α's size, and it is the exponential and its inverse. The corpus has exactly one exponential, in AP42's partition, and Road One records that it contains no α and is spent.</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This is not an instruction to look for another. A form chosen because its exponent lands is the fit of §11 wearing a better disguise than most, and the register of §11 exists for exactly that case. An exponent would have to be argued from S, B, R and C, written down, and lodged before the value is consulted. Under the protocol, and not otherwise.</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It is recorded for a second reason, which belongs to physics and not to the corpus. In the accepted account, a small coupling at low energy is what a logarithm produces: the coupling is of order one at a high scale, and its smallness at the bottom is the running's doing. So the shape this bound leaves open and the shape D-EM.1 already owes are the same shape. The corpus claims no connection between them. It records that the two point at one door, and that the door is the debt it has not paid.</w:t>
      </w:r>
    </w:p>
    <w:p>
      <w:pPr>
        <w:pStyle w:val="Heading2"/>
        <w:spacing w:after="240" w:before="480"/>
      </w:pPr>
      <w:r>
        <w:rPr>
          <w:rFonts w:ascii="Atkinson Hyperlegible" w:cs="Atkinson Hyperlegible" w:eastAsia="Atkinson Hyperlegible" w:hAnsi="Atkinson Hyperlegible"/>
          <w:b/>
          <w:bCs/>
          <w:color w:val="000000"/>
          <w:sz w:val="24"/>
          <w:szCs w:val="24"/>
        </w:rPr>
        <w:t xml:space="preserve">What is left</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One demand in five vocabularies: a second scale, dimensionless, fixed by S, B, R and C, that is not a count and does not contain α. The material face's second reading (Eleven); a maintenance cost in grains (Seven); a field-to-charge normalisation (Nine); a resource rule and a tolerance (Eight); the magnitude of the irreducibility S forces, as a fraction of cycle activity. These are one object in five dresses. Nobody has it. AP24 §5.4 says it is not reachable from within, and says the check from without needs a normalisation, a spectrum or a boundary condition. This paper does not retract that and does not supply it.</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The bound above says one thing more about that object than §5.4 does. Whatever supplies it cannot be a count, and cannot be a power of the coupling against another power of it, because that class has no member with a root where the value is. It has to be something else, and the corpus does not have something else.</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A tolerance derived before any formula is that second scale. A tolerance set after a formula is the look-elsewhere effect wearing a band, and KS-30.4's 2,971 formulas become 2,971 confirmations. Derived first, or not at all.</w:t>
      </w:r>
    </w:p>
    <w:p>
      <w:pPr>
        <w:pStyle w:val="Heading2"/>
        <w:spacing w:after="240" w:before="480"/>
      </w:pPr>
      <w:r>
        <w:rPr>
          <w:rFonts w:ascii="Atkinson Hyperlegible" w:cs="Atkinson Hyperlegible" w:eastAsia="Atkinson Hyperlegible" w:hAnsi="Atkinson Hyperlegible"/>
          <w:b/>
          <w:bCs/>
          <w:color w:val="000000"/>
          <w:sz w:val="24"/>
          <w:szCs w:val="24"/>
        </w:rPr>
        <w:t xml:space="preserve">What this section is not</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It is not a proof that α cannot be derived. It is a register of what has been tried inside this corpus and why each attempt ended, together with the one structural reason most of them ended the same way. A route that contains something the corpus does not yet contain is untouched by all of it.</w:t>
      </w:r>
    </w:p>
    <w:p>
      <w:pPr>
        <w:spacing w:after="160" w:before="0" w:line="276"/>
        <w:jc w:val="left"/>
      </w:pPr>
      <w:r>
        <w:rPr>
          <w:rFonts w:ascii="Atkinson Hyperlegible" w:cs="Atkinson Hyperlegible" w:eastAsia="Atkinson Hyperlegible" w:hAnsi="Atkinson Hyperlegible"/>
          <w:b w:val="false"/>
          <w:bCs w:val="false"/>
          <w:i w:val="false"/>
          <w:iCs w:val="false"/>
          <w:sz w:val="22"/>
          <w:szCs w:val="22"/>
        </w:rPr>
        <w:t xml:space="preserve">The corpus stands at one measured dimensionless input, as AP24 §5.5 left it. Which input it is may be chosen — Road Four shows the coupling and the gravitational ratio are interchangeable through AP28 — but the count of inputs is one either way, and no road in this register reduces it to none.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AP54 §10 — What Does Not Derive It — FINAL</dc:title>
  <dc:creator>Studio G</dc:creator>
  <dc:description>Drop-in for AP54 §10</dc:description>
  <cp:lastModifiedBy>Un-named</cp:lastModifiedBy>
  <cp:revision>1</cp:revision>
  <dcterms:created xsi:type="dcterms:W3CDTF">2026-09-12T16:45:14.302Z</dcterms:created>
  <dcterms:modified xsi:type="dcterms:W3CDTF">2026-09-12T16:45:14.302Z</dcterms:modified>
</cp:coreProperties>
</file>

<file path=docProps/custom.xml><?xml version="1.0" encoding="utf-8"?>
<Properties xmlns="http://schemas.openxmlformats.org/officeDocument/2006/custom-properties" xmlns:vt="http://schemas.openxmlformats.org/officeDocument/2006/docPropsVTypes"/>
</file>