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05ACC" w14:textId="77777777" w:rsidR="009F258A" w:rsidRDefault="006E65B7">
      <w:pPr>
        <w:spacing w:after="230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6847EF44" w14:textId="77777777" w:rsidR="009F258A" w:rsidRDefault="006E65B7">
      <w:pPr>
        <w:spacing w:after="423"/>
        <w:ind w:left="89"/>
        <w:jc w:val="center"/>
      </w:pPr>
      <w:r>
        <w:rPr>
          <w:rFonts w:ascii="Atkinson Hyperlegible" w:eastAsia="Atkinson Hyperlegible" w:hAnsi="Atkinson Hyperlegible" w:cs="Atkinson Hyperlegible"/>
          <w:b/>
          <w:sz w:val="48"/>
        </w:rPr>
        <w:t>Registro Principal de Kill Switches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AB2F585" w14:textId="77777777" w:rsidR="009F258A" w:rsidRDefault="006E65B7">
      <w:pPr>
        <w:spacing w:after="425"/>
        <w:ind w:left="87"/>
        <w:jc w:val="center"/>
      </w:pPr>
      <w:r>
        <w:rPr>
          <w:rFonts w:ascii="Atkinson Hyperlegible" w:eastAsia="Atkinson Hyperlegible" w:hAnsi="Atkinson Hyperlegible" w:cs="Atkinson Hyperlegible"/>
          <w:sz w:val="36"/>
        </w:rPr>
        <w:t>The 420 Code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E81C5C9" w14:textId="77777777" w:rsidR="009F258A" w:rsidRDefault="006E65B7">
      <w:pPr>
        <w:spacing w:after="837"/>
        <w:ind w:left="92"/>
        <w:jc w:val="center"/>
      </w:pPr>
      <w:r>
        <w:rPr>
          <w:rFonts w:ascii="Atkinson Hyperlegible" w:eastAsia="Atkinson Hyperlegible" w:hAnsi="Atkinson Hyperlegible" w:cs="Atkinson Hyperlegible"/>
          <w:i/>
          <w:sz w:val="28"/>
        </w:rPr>
        <w:t>Versión 4.0 — Marzo 2026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38D7B06" w14:textId="77777777" w:rsidR="009F258A" w:rsidRDefault="006E65B7">
      <w:pPr>
        <w:spacing w:after="248"/>
        <w:ind w:left="1368"/>
      </w:pPr>
      <w:r>
        <w:rPr>
          <w:rFonts w:ascii="Atkinson Hyperlegible" w:eastAsia="Atkinson Hyperlegible" w:hAnsi="Atkinson Hyperlegible" w:cs="Atkinson Hyperlegible"/>
          <w:sz w:val="24"/>
        </w:rPr>
        <w:t>258 kill switches en 42 Artist’s Proofs.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5B56834" w14:textId="77777777" w:rsidR="009F258A" w:rsidRDefault="006E65B7">
      <w:pPr>
        <w:spacing w:after="867"/>
        <w:ind w:left="99" w:right="8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15 cerrados. 231 activos. 1 abordado. 4 deuda abierta. 1 condicionalmente cerrado. 6 no negociables. </w:t>
      </w:r>
    </w:p>
    <w:p w14:paraId="3B6B5042" w14:textId="77777777" w:rsidR="009F258A" w:rsidRDefault="006E65B7">
      <w:pPr>
        <w:spacing w:after="579" w:line="314" w:lineRule="auto"/>
        <w:ind w:left="7"/>
        <w:jc w:val="center"/>
      </w:pPr>
      <w:r>
        <w:rPr>
          <w:rFonts w:ascii="Atkinson Hyperlegible" w:eastAsia="Atkinson Hyperlegible" w:hAnsi="Atkinson Hyperlegible" w:cs="Atkinson Hyperlegible"/>
          <w:i/>
          <w:sz w:val="24"/>
        </w:rPr>
        <w:t>Cada afirmación está formulada. Cada kill switch está publicado. Cada experimento está especificado.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EF2C4C0" w14:textId="77777777" w:rsidR="009F258A" w:rsidRDefault="006E65B7">
      <w:pPr>
        <w:spacing w:after="230"/>
        <w:ind w:left="9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Publicado gratuitamente para siempre </w:t>
      </w:r>
    </w:p>
    <w:p w14:paraId="6272CC3F" w14:textId="77777777" w:rsidR="009F258A" w:rsidRDefault="006E65B7">
      <w:pPr>
        <w:pStyle w:val="Heading1"/>
      </w:pPr>
      <w:r>
        <w:t>Switches Cerrados — Lista Completa</w:t>
      </w:r>
      <w:r>
        <w:rPr>
          <w:b w:val="0"/>
          <w:sz w:val="22"/>
        </w:rPr>
        <w:t xml:space="preserve"> </w:t>
      </w:r>
    </w:p>
    <w:p w14:paraId="6912663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Quince switches han sido formalmente descargados. Además: 1 condicionalmente cerrado (KS-Q.1), 1 abordado (KS-46C).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BE84B2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1E7A0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DF7A1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0025B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58935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89CFB8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97E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43C747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conjugación compleja. </w:t>
            </w:r>
            <w:r>
              <w:rPr>
                <w:rFonts w:ascii="Cambria Math" w:eastAsia="Cambria Math" w:hAnsi="Cambria Math" w:cs="Cambria Math"/>
                <w:sz w:val="19"/>
              </w:rPr>
              <w:t>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tiene exactamente dos automorfismos de cuerpo que fijan </w:t>
            </w:r>
            <w:r>
              <w:rPr>
                <w:rFonts w:ascii="Cambria Math" w:eastAsia="Cambria Math" w:hAnsi="Cambria Math" w:cs="Cambria Math"/>
                <w:sz w:val="19"/>
              </w:rPr>
              <w:t>ℝ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E4C4D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036927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4495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9694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5D8A6A2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Hipótesis de Inmersión (EH). Condición central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teorema.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637D4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83E30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C3FA444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4DFB4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511F26F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Alineación Cuántica-Registro (QRA). </w:t>
            </w:r>
          </w:p>
          <w:p w14:paraId="0C8E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Los estados cuánticos SON registros pre-estado.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0F97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33AA7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8FAB01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08D87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 / 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8CF4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 = 3 dimensiones espaciales. Cuatro axiomas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cuatro caras.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836C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EF5D8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DD82C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AA013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 / KS-D.2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A2AB2F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Asignación axioma-a-dimensión. R únicamente irreversible.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320651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CD379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EA58F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7EFD4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AE9D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 {S, B, R, C}. Quinto GDL = espacio de Hilbert.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3CAE0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903EE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0C026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764F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 / 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7B2DCA3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identificación. Teorema de Stone + argumento de forcing Axioma B.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C711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6EB2C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C08488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C64E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CD030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del grupo de fase (U(1)). Teorema matemático.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9D8BF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B33A1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4BC403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A922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DA36B4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 Maxwell. Acción local invariante de calibración dim-4 única.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157AA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B3CBD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935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AB77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250B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entrelazamiento-conexión. Teorema 4.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23CDA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A51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FE061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A5D3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BB265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Era KS-47(AP18). Topología dipolar. Poincaré–Hopf.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5E320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56620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DA6D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13D9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349911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Puente AQFT (bifurcación). Sewell 1982.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8502E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7080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F3B0C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5D6214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C884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Era KS-49(AP23). Variables ocultas. Bell + Axioma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197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59241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DE12065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DD20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AD85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Ecuación de campo de tensión desde {S,B,R,C}. Rosin V7.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7F106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494D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F9074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A4B1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94BFA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del acoplamiento quiral. Sin explicación desde 1956. Marzo 2026.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2C90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5516E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73725BA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F99EF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F8552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 la regla de Born. Condicionada por KSQ.7.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8AA5734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COND. </w:t>
            </w:r>
          </w:p>
          <w:p w14:paraId="59E037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BD88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C3CF47" w14:textId="77777777">
        <w:trPr>
          <w:trHeight w:val="5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29AF1B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DD008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del operador (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 Prueba de antilinealidad exhibida.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70ED89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ABORDADO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3BDA0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EF3C323" w14:textId="77777777" w:rsidR="009F258A" w:rsidRDefault="006E65B7">
      <w:pPr>
        <w:spacing w:after="0"/>
        <w:jc w:val="both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  <w:r>
        <w:br w:type="page"/>
      </w:r>
    </w:p>
    <w:p w14:paraId="689208BA" w14:textId="77777777" w:rsidR="009F258A" w:rsidRDefault="006E65B7">
      <w:pPr>
        <w:pStyle w:val="Heading1"/>
        <w:spacing w:after="234"/>
      </w:pPr>
      <w:r>
        <w:rPr>
          <w:sz w:val="40"/>
        </w:rPr>
        <w:lastRenderedPageBreak/>
        <w:t>El Registro</w:t>
      </w:r>
      <w:r>
        <w:rPr>
          <w:b w:val="0"/>
          <w:sz w:val="40"/>
        </w:rPr>
        <w:t xml:space="preserve"> </w:t>
      </w:r>
    </w:p>
    <w:p w14:paraId="4565C0E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BA5547F" w14:textId="77777777" w:rsidR="009F258A" w:rsidRDefault="006E65B7">
      <w:pPr>
        <w:pStyle w:val="Heading2"/>
        <w:ind w:left="-5"/>
      </w:pPr>
      <w:r>
        <w:t>AP01 — El Estado de Actualización</w:t>
      </w:r>
      <w:r>
        <w:rPr>
          <w:b w:val="0"/>
          <w:sz w:val="22"/>
        </w:rPr>
        <w:t xml:space="preserve"> </w:t>
      </w:r>
    </w:p>
    <w:p w14:paraId="40A78765" w14:textId="77777777" w:rsidR="009F258A" w:rsidRDefault="006E65B7">
      <w:pPr>
        <w:spacing w:after="248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24 kill switches. KS-V.1 es el kill switch global. Renumerado de KS-50–73 a KS-V.1–V.24 según recomendación v3.0. </w:t>
      </w:r>
    </w:p>
    <w:p w14:paraId="7601FFE3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5C28B45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A — Estado de Actualización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8A94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365AD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C9AC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9EE5D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7625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28399BE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A7547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D01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Invariancia operacional de AS (F0). KILL SWITCH GLOBAL.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7A20F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B4F45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395BC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841FA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DADF8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6343D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de base de puntero (F1).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D2711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EDB98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985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CA492F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C00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03ED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de Born (F2).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C738C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4D9F9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810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91E63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A7B3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A4BD6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del contexto (F3).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03E6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BB539D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79A3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B393A73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0D842B4B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B — Selección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4C378B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7D83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43392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ACB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B27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650433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A0E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01489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La tasa de selección excede el límite gravitacional (G1).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4AFAE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487A0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168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02EA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30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D6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en régimen gravitacionalmente degenerado (G2).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944D7F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E6DC9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E158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57F62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E3C3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DD2BE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Escalado de tasa no gravitacional (G3).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EB29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DB5E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70ED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603F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8AFB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DB71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pre-irreversibilidad (B2).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AFD88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E11F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1C5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06F37D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75BEA9FE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C — Agencia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7C9C8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E8C62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lastRenderedPageBreak/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AAF3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907F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684D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2234E2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D49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58BD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Aumento de agencia sin control (FC1).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5FDDD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2CD7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7E0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78E8A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7ACC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1B4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Pérdida irreversible revertida (FC2).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96626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F4A86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0673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007F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57E4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0EC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Control estable más allá de la superficie de no retorno (FC3).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D60D1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1C0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DCAE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22F82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DEA5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76D1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Almuerzo gratis (FC4).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617CF1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5031A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26BC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7BBB66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89695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3FA1AB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Resurrección (FC5).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0CAA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6CA7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B721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1D1236E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3F48F1AD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D — Viabilidad Acoplada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765288C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6C54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30436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83A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7D091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BCA5CC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D170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D7CE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de persistencia multiagente (FD0).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17197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637E8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BF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4D0C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56D8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BE55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supervivencia gratuita (FD1).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F2D0F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D468C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90EF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ADD5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EA3E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7DCE9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Aditividad bajo acoplamiento (FD2.1).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6C2A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DB335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66A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EE878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9C9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C72E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Eficiencia independiente de impedancia (FD2.2).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4D8B4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7E40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D9C1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FC4B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D17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2AFD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Optimalidad anti-resonante (FD2.3).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51861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F9146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4278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2CD7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FAD7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E2C7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propagación en cascada (FD3.3).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C1B2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959BBA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8090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F59DBF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301A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7A5D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Orden indistinguible del ruido (FD4).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58DE2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C507A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86E0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DB279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59B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C5D4E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Violadores persistentes (FD4.2).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39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D54EB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7DB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B389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AB1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B57B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Inversión de jerarquía (FD4.3).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5B85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20ED6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4F3B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EA92F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2B52DF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KS-V.23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0B2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existencia de cooperación (FD4.4a).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4B8B4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CFE88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C2B6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FDF3E3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D15AB3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355EC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Salida de disuasión (FD4.4b).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4D2907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52BD2E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45B35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A8218C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BFDE89B" w14:textId="77777777" w:rsidR="009F258A" w:rsidRDefault="006E65B7">
      <w:pPr>
        <w:pStyle w:val="Heading2"/>
        <w:ind w:left="-5"/>
      </w:pPr>
      <w:r>
        <w:t>AP02 — El Operador</w:t>
      </w:r>
      <w:r>
        <w:rPr>
          <w:b w:val="0"/>
          <w:sz w:val="22"/>
        </w:rPr>
        <w:t xml:space="preserve"> </w:t>
      </w:r>
    </w:p>
    <w:p w14:paraId="46D1596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Renumerado a KS-O.1–O.3.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E680A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5E94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6AA6C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C20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D4B3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A37961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E222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878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Dualidad deriva-disciplina.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3E91CE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A6C55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E4B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DBF4FB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865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67E31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Horizonte de capacidad.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80F3E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B1AB8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32FA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549D4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F6116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A698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Optimalidad de salida.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245B5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1D084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6D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5230D6F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CC6FE04" w14:textId="77777777" w:rsidR="009F258A" w:rsidRDefault="006E65B7">
      <w:pPr>
        <w:pStyle w:val="Heading2"/>
        <w:ind w:left="-5"/>
      </w:pPr>
      <w:r>
        <w:t>AP03 — La Razón</w:t>
      </w:r>
      <w:r>
        <w:rPr>
          <w:b w:val="0"/>
          <w:sz w:val="22"/>
        </w:rPr>
        <w:t xml:space="preserve"> </w:t>
      </w:r>
    </w:p>
    <w:p w14:paraId="690BBD1C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515600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62DD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5D1803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2F6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5EC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8838EEC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1234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7E90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Variabilidad independiente de acoplamientos adimensionales.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84F2C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E6226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5FE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A64CA0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A0EAB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FCFAD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Origen no binario. El universo requiere &gt;2 sectores fundamentales.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3374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9FFEA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9DFD1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DE58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A64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889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Independencia de ratio oscuro.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AB7C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9DAA6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2C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C6221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E2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D6B0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Inequivalencia de horizonte.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480A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C69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38E1B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17CE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CDF0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Discrepancia a escala de Planck.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13D04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D290B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B2F0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9217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38C5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363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Violación de escalado. c/G </w:t>
            </w:r>
            <w:r>
              <w:rPr>
                <w:noProof/>
              </w:rPr>
              <w:drawing>
                <wp:inline distT="0" distB="0" distL="0" distR="0" wp14:anchorId="20013582" wp14:editId="696E7518">
                  <wp:extent cx="76200" cy="64008"/>
                  <wp:effectExtent l="0" t="0" r="0" b="0"/>
                  <wp:docPr id="99691" name="Picture 9969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91" name="Picture 9969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6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² conjeturado.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472F4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EE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760BAE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BAADB32" w14:textId="77777777" w:rsidR="009F258A" w:rsidRDefault="006E65B7">
      <w:pPr>
        <w:pStyle w:val="Heading2"/>
        <w:ind w:left="-5"/>
      </w:pPr>
      <w:r>
        <w:lastRenderedPageBreak/>
        <w:t>AP04 — La Hipótesis del Bucle</w:t>
      </w:r>
      <w:r>
        <w:rPr>
          <w:b w:val="0"/>
          <w:sz w:val="22"/>
        </w:rPr>
        <w:t xml:space="preserve"> </w:t>
      </w:r>
    </w:p>
    <w:p w14:paraId="34A7BD7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2C2C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1D6AA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9282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9A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BE73B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7A4DF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69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9338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Identidad estructural refutada. Sin BH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Mapeo FRW.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DBA38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1E74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DD63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0F0B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447B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resolución de singularidad. Singularidad terminal sin extensión.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34A20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3845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411C2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CFFB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649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Pérdida de información. Evaporación BH fundamentalmente no unitaria.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45B8A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AE8AF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23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841CE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E297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E783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Desintegración del protón observada.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27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5F718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73B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A272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55B5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1B9CC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GSL violado. ΔS_gen &lt; 0 demostrado.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598E8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4BC9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7C1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756CDB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140A8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E6172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Actualización sin conciencia. GRW confirmado.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11CDC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1117E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2827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E7BD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5DDDB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B371A6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Fermiones innecesarios. Solo bosónico reproduce identidad.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BFD5B9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1B00F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4EEAC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C2A5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8CA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Anisotropía irreconciliable. Obstáculo más agudo.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6C1F3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F53B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7822D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555D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CA7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Discrepancia del CMB.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·h no puede reproducir P_</w:t>
            </w:r>
            <w:r>
              <w:rPr>
                <w:rFonts w:ascii="Cambria Math" w:eastAsia="Cambria Math" w:hAnsi="Cambria Math" w:cs="Cambria Math"/>
                <w:sz w:val="19"/>
              </w:rPr>
              <w:t>ℛ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(k).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E4F7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403AF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6F5E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816A7CA" w14:textId="77777777" w:rsidR="009F258A" w:rsidRDefault="006E65B7">
      <w:pPr>
        <w:spacing w:after="279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82FB264" w14:textId="77777777" w:rsidR="009F258A" w:rsidRDefault="006E65B7">
      <w:pPr>
        <w:pStyle w:val="Heading2"/>
        <w:ind w:left="-5"/>
      </w:pPr>
      <w:r>
        <w:t xml:space="preserve">AP05 — La Ruptura (Axioma </w:t>
      </w:r>
      <w:r>
        <w:rPr>
          <w:rFonts w:ascii="Times New Roman" w:eastAsia="Times New Roman" w:hAnsi="Times New Roman" w:cs="Times New Roman"/>
        </w:rPr>
        <w:t>→</w:t>
      </w:r>
      <w:r>
        <w:t xml:space="preserve"> Estructura)</w:t>
      </w:r>
      <w:r>
        <w:rPr>
          <w:b w:val="0"/>
          <w:sz w:val="22"/>
        </w:rPr>
        <w:t xml:space="preserve"> </w:t>
      </w:r>
    </w:p>
    <w:p w14:paraId="08DBA78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1321A5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5DF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4816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989CF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D8AB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D4FB3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97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B295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Universal: especificaciones independientes.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E488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D08A7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18980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C756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5409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Rebote superior.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F2D7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64702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246A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5308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8D71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58771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Discrepancia espectral (escalonada). Pendiente BJP.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DCF5F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3D59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ESCALONADO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D6DC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99D0399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2B3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KS-B.3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12CF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solución de unión. Prueba más aguda.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9773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3E5D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688B3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9FFC8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FA832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Ruptura de cadena. Suposición no declarada en B0–B-6.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633B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EAE53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156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74BB72F" w14:textId="77777777" w:rsidR="009F258A" w:rsidRDefault="006E65B7">
      <w:pPr>
        <w:pStyle w:val="Heading2"/>
        <w:ind w:left="-5"/>
      </w:pPr>
      <w:r>
        <w:t>AP06 — La Constante de Fuga</w:t>
      </w:r>
      <w:r>
        <w:rPr>
          <w:b w:val="0"/>
          <w:sz w:val="22"/>
        </w:rPr>
        <w:t xml:space="preserve"> </w:t>
      </w:r>
    </w:p>
    <w:p w14:paraId="1EBF47C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cerrado.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16"/>
        <w:gridCol w:w="3493"/>
        <w:gridCol w:w="1371"/>
        <w:gridCol w:w="1320"/>
      </w:tblGrid>
      <w:tr w:rsidR="009F258A" w14:paraId="696370C3" w14:textId="77777777">
        <w:trPr>
          <w:trHeight w:val="347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31CF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0EB6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BA09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19DDE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8D0FE7" w14:textId="77777777">
        <w:trPr>
          <w:trHeight w:val="616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E9D45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84C05C" w14:textId="77777777" w:rsidR="009F258A" w:rsidRDefault="006E65B7">
            <w:pPr>
              <w:spacing w:after="0"/>
              <w:ind w:right="3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Absorbedor perfecto. </w:t>
            </w:r>
            <w:r>
              <w:rPr>
                <w:rFonts w:ascii="Cambria" w:eastAsia="Cambria" w:hAnsi="Cambria" w:cs="Cambria"/>
                <w:sz w:val="19"/>
              </w:rPr>
              <w:t>η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0 con c finito y acoplamiento.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D47BB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099E8E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89ABB6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26DD2C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A7DF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51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Fallo de suficiencia dentro de la clase AP06.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D91F0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188F3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05089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E4B862" w14:textId="77777777">
        <w:trPr>
          <w:trHeight w:val="595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FFB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475B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epsilon. Cae si KS-1 o KS-2 se dispara.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8CEFC0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6D65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73508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5F421D" w14:textId="77777777">
        <w:trPr>
          <w:trHeight w:val="358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A827F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B506ACB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1/137. El único parámetro medido.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271D9E27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648FEA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A57390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7811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405F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parametrización estructural compartida. No portante.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D5B9C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900507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1C4C3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B5688D3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4F26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97804B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 independiente de c. No portante.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59595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AC614D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1922BD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A1737A" w14:textId="77777777">
        <w:trPr>
          <w:trHeight w:val="312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1CBCA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177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Hipótesis de Inmersión (EH).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AF92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F8FB1B7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AD7D96C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BCF6B9" w14:textId="77777777" w:rsidR="009F258A" w:rsidRDefault="006E65B7">
      <w:pPr>
        <w:pStyle w:val="Heading2"/>
        <w:ind w:left="-5"/>
      </w:pPr>
      <w:r>
        <w:t>AP07 — Amplitudes Complejas</w:t>
      </w:r>
      <w:r>
        <w:rPr>
          <w:b w:val="0"/>
          <w:sz w:val="22"/>
        </w:rPr>
        <w:t xml:space="preserve"> </w:t>
      </w:r>
    </w:p>
    <w:p w14:paraId="6D52060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971AC6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BE06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1B5CA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BD537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371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CD9DF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EE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4CA4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Registro duradero no electromagnético.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47845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DAD1F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A50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A131A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32844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A1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Criterio de registro configurable demasiado restrictivo.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27135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1E4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7CEEB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F9C8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331A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banda no restrictiva.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14088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782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95D43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DE50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C8C1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Jerarquía fuera de 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C8E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6DEC5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581E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82631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FBD8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A193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 Axioma 4 falsificado (heredado).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B14FE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65274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D60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020B443" w14:textId="77777777" w:rsidR="009F258A" w:rsidRDefault="006E65B7">
      <w:pPr>
        <w:pStyle w:val="Heading2"/>
        <w:ind w:left="-5"/>
      </w:pPr>
      <w:r>
        <w:t>AP08 — La Identidad (Ecuaciones de Campo de Einstein)</w:t>
      </w:r>
      <w:r>
        <w:rPr>
          <w:b w:val="0"/>
          <w:sz w:val="22"/>
        </w:rPr>
        <w:t xml:space="preserve"> </w:t>
      </w:r>
    </w:p>
    <w:p w14:paraId="11B043B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cerrado.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33"/>
        <w:gridCol w:w="3527"/>
        <w:gridCol w:w="1345"/>
        <w:gridCol w:w="1295"/>
      </w:tblGrid>
      <w:tr w:rsidR="009F258A" w14:paraId="77DCE133" w14:textId="77777777">
        <w:trPr>
          <w:trHeight w:val="347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166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585D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4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709C8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5744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14E6D6D" w14:textId="77777777">
        <w:trPr>
          <w:trHeight w:val="616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B86B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FFC3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Cadena axioma-a-Poisson.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09FD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4C40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7364D2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C8E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11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Cadena de Lovelock.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30393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5CDC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E3822B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EFB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F878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coeficientes.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2F4C3A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8C1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D38BA0C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0586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146F15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κ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inaccesibilidad estructural.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65072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78FA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26B11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44622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AAF3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Identidad curvatura-registro.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64A3368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7A2F2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F104BC" w14:textId="77777777">
        <w:trPr>
          <w:trHeight w:val="335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6422B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37EC8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E7FC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BD79E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70F1E3" w14:textId="77777777">
        <w:trPr>
          <w:trHeight w:val="618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4F7E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5A1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Constante cosmológica.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1EC25B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1303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6F2807" w14:textId="77777777">
        <w:trPr>
          <w:trHeight w:val="570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AFC7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316F8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Axioma R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puente de conservación de fuente.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D913A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77B6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45F76A0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D56A90B" w14:textId="77777777" w:rsidR="009F258A" w:rsidRDefault="009F258A">
      <w:pPr>
        <w:sectPr w:rsidR="009F258A">
          <w:headerReference w:type="even" r:id="rId7"/>
          <w:headerReference w:type="default" r:id="rId8"/>
          <w:headerReference w:type="first" r:id="rId9"/>
          <w:pgSz w:w="10080" w:h="14400"/>
          <w:pgMar w:top="1439" w:right="1529" w:bottom="1494" w:left="1440" w:header="720" w:footer="720" w:gutter="0"/>
          <w:cols w:space="720"/>
        </w:sectPr>
      </w:pPr>
    </w:p>
    <w:p w14:paraId="00A011CC" w14:textId="77777777" w:rsidR="009F258A" w:rsidRDefault="006E65B7">
      <w:pPr>
        <w:pStyle w:val="Heading2"/>
        <w:tabs>
          <w:tab w:val="center" w:pos="3288"/>
        </w:tabs>
        <w:ind w:left="-15" w:firstLine="0"/>
      </w:pPr>
      <w:r>
        <w:t xml:space="preserve">AP09 </w:t>
        <w:tab/>
        <w:t>La Ruptura (Mecánica Cuántica)</w:t>
      </w:r>
      <w:r>
        <w:rPr>
          <w:b w:val="0"/>
          <w:sz w:val="22"/>
        </w:rPr>
        <w:t xml:space="preserve"> </w:t>
      </w:r>
    </w:p>
    <w:p w14:paraId="17D769E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10 kill switches. 2 cerrados. 1 condicionalmente cerrado.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1037"/>
        <w:gridCol w:w="3515"/>
        <w:gridCol w:w="1376"/>
        <w:gridCol w:w="1272"/>
      </w:tblGrid>
      <w:tr w:rsidR="009F258A" w14:paraId="42FA2CCB" w14:textId="77777777">
        <w:trPr>
          <w:trHeight w:val="347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E0645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9852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BAE8D3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26B8C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055DA1B" w14:textId="77777777">
        <w:trPr>
          <w:trHeight w:val="593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29552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5800C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 la regla de Born. Condicionada por KS-Q.7.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C6A9D6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COND. </w:t>
            </w:r>
          </w:p>
          <w:p w14:paraId="4124408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6CCF8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421477" w14:textId="77777777">
        <w:trPr>
          <w:trHeight w:val="616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9CF23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3CD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Regla de Born empíricamente.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4DAE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07DBC7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B3C2B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225DB6" w14:textId="77777777">
        <w:trPr>
          <w:trHeight w:val="593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7EA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819A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señalización (entrelazamiento).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FE0E9" w14:textId="77777777" w:rsidR="009F258A" w:rsidRDefault="006E65B7">
            <w:pPr>
              <w:spacing w:after="1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634130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CAB8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C350C7E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71D2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AFF6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compleja.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1E69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1874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B54DD5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2D2F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84C1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bucle (física).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FE6B9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7146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F273ED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A77C2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F789420" w14:textId="77777777" w:rsidR="009F258A" w:rsidRDefault="006E65B7">
            <w:pPr>
              <w:spacing w:after="0"/>
              <w:ind w:left="1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conjugación compleja.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FD77A2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876CF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4F2F05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562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1BE5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Construcción del puente del espacio de Hilbert.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2444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7367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179BF84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1CBAD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DBF99CC" w14:textId="77777777" w:rsidR="009F258A" w:rsidRDefault="006E65B7">
            <w:pPr>
              <w:spacing w:after="0"/>
              <w:ind w:left="1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7C0A0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3990C4E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B63CF1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4E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1F0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Exclusión de desfragmentación.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A739D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633A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580320" w14:textId="77777777">
        <w:trPr>
          <w:trHeight w:val="335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4CC2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DF65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Fundamentación ontológica pre-estado.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504F0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F54B5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E7CB72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8ADC15" w14:textId="77777777" w:rsidR="009F258A" w:rsidRDefault="006E65B7">
      <w:pPr>
        <w:pStyle w:val="Heading2"/>
        <w:ind w:left="-5"/>
      </w:pPr>
      <w:r>
        <w:t>AP10 — La Dimensión</w:t>
      </w:r>
      <w:r>
        <w:rPr>
          <w:b w:val="0"/>
          <w:sz w:val="22"/>
        </w:rPr>
        <w:t xml:space="preserve"> </w:t>
      </w:r>
    </w:p>
    <w:p w14:paraId="272A031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3 cerrados.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7B66A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C4A3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FC251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CC34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A33D4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F68690B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1CF7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544D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 dimensiones espaciales.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D1BE8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2BFB3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2644A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92A2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KS-15/D.2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B601C3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 asignación axioma-a-dimensión.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126A9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32EEC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DB816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9245B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2E212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Quinto axioma / completitud de {S,B,R,C}.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5F801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66968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7D78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FFD9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4EC7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Conteo de seis caras.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5494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DCF5BA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FC4D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6C587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6EC1A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F7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 axioma, una cara.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C0CD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A906AD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5FC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E8B8741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D0AC46" w14:textId="77777777" w:rsidR="009F258A" w:rsidRDefault="006E65B7">
      <w:pPr>
        <w:pStyle w:val="Heading2"/>
        <w:ind w:left="-5"/>
      </w:pPr>
      <w:r>
        <w:t>AP11 — El Espín</w:t>
      </w:r>
      <w:r>
        <w:rPr>
          <w:b w:val="0"/>
          <w:sz w:val="22"/>
        </w:rPr>
        <w:t xml:space="preserve"> </w:t>
      </w:r>
    </w:p>
    <w:p w14:paraId="256D9CD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559E3B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27ED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D4126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1D3D0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FEA7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A2B39A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811A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13E44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ℤ₂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identificación con π</w:t>
            </w:r>
            <w:r>
              <w:rPr>
                <w:rFonts w:ascii="Cambria Math" w:eastAsia="Cambria Math" w:hAnsi="Cambria Math" w:cs="Cambria Math"/>
                <w:sz w:val="19"/>
              </w:rPr>
              <w:t>₁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(SO(3)).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4E6C8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A554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0905C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D0F4C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4B94B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de espín mínimo.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9423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A0B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269CB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9302F1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8B3F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Puente intercambio-involución.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1E48F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E22E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56CC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5EF66EC" w14:textId="77777777" w:rsidR="009F258A" w:rsidRDefault="006E65B7">
      <w:pPr>
        <w:pStyle w:val="Heading2"/>
        <w:ind w:left="-5"/>
      </w:pPr>
      <w:r>
        <w:t>AP12 — El Límite</w:t>
      </w:r>
      <w:r>
        <w:rPr>
          <w:b w:val="0"/>
          <w:sz w:val="22"/>
        </w:rPr>
        <w:t xml:space="preserve"> </w:t>
      </w:r>
    </w:p>
    <w:p w14:paraId="1C4C363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1 cerrado.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616BE46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2C8A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65EE8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21235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5FAACA1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E25D69C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18E63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E9CC63A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identificación (era KS-Q.8).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F6D89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839D8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E67CD3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A71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03061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Correcciones de conmutación.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B27BFE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EF96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1BF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5E45E9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4F7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7E143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Mandelstam-Tamm.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DBA6A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9943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1AE2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1715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AD09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490E8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Parámetro adimensional en </w:t>
            </w: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forcing.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BE496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1396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4EFE4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163D1E6" w14:textId="77777777" w:rsidR="009F258A" w:rsidRDefault="006E65B7">
      <w:pPr>
        <w:pStyle w:val="Heading2"/>
        <w:ind w:left="-5"/>
      </w:pPr>
      <w:r>
        <w:t>AP13 — El Grano</w:t>
      </w:r>
      <w:r>
        <w:rPr>
          <w:b w:val="0"/>
          <w:sz w:val="22"/>
        </w:rPr>
        <w:t xml:space="preserve"> </w:t>
      </w:r>
    </w:p>
    <w:p w14:paraId="5D7836C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8673C2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D947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9AEA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31C66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412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59DE0B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7A80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95FA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Persistencia de coherencia anómala.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4FAC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B0522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78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C0720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C3AB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8F47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Destrucción de registro por borrador cuántico.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45E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CC7BD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BB4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AA550EF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E44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880D34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del sector cuántico.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370F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6736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31ECF1F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FFC9A20" w14:textId="77777777" w:rsidR="009F258A" w:rsidRDefault="006E65B7">
      <w:pPr>
        <w:pStyle w:val="Heading2"/>
        <w:tabs>
          <w:tab w:val="center" w:pos="2718"/>
        </w:tabs>
        <w:ind w:left="-15" w:firstLine="0"/>
      </w:pPr>
      <w:r>
        <w:t xml:space="preserve">AP14 </w:t>
        <w:tab/>
        <w:t>La Corrección (Física)</w:t>
      </w:r>
      <w:r>
        <w:rPr>
          <w:b w:val="0"/>
          <w:sz w:val="22"/>
        </w:rPr>
        <w:t xml:space="preserve"> </w:t>
      </w:r>
    </w:p>
    <w:p w14:paraId="38B18A8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C75B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E1B38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4AC53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CF5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F04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37316E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8A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2777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Correcciones de conmutación a escala de Planck.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1F3A3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10A3B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636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479F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42D2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8D45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Finitud amplitud/coeficiente a un bucle.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A87D0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BD253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C754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C6790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F7E7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9994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Combinatoria de monoide a un bucle.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A018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8A40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CE826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1CBA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2CE2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Finitud a bucles superiores.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696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9C156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2DB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56D81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5096FE3" w14:textId="77777777" w:rsidR="009F258A" w:rsidRDefault="006E65B7">
      <w:pPr>
        <w:pStyle w:val="Heading2"/>
        <w:ind w:left="-5"/>
      </w:pPr>
      <w:r>
        <w:t>AP15 — La Conexión</w:t>
      </w:r>
      <w:r>
        <w:rPr>
          <w:b w:val="0"/>
          <w:sz w:val="22"/>
        </w:rPr>
        <w:t xml:space="preserve"> </w:t>
      </w:r>
    </w:p>
    <w:p w14:paraId="5615FE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3 cerrados.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E4BAF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4D166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05D67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A4EB8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90E8D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2923DD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89E5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C75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del grupo de fase (U(1)).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BB1DB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13B97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09020D5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351D7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5D3EA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 Maxwell.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DC59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F677F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6D2EE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44879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7C2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Globalidad de fase.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45EF18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965BDD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F3182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D91CDF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AE5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715BE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entrelazamiento-conexión.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83CBC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1990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2A18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359C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FB7822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 (continuación).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E0858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36F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0FC3C0C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7985713" w14:textId="77777777" w:rsidR="009F258A" w:rsidRDefault="006E65B7">
      <w:pPr>
        <w:pStyle w:val="Heading2"/>
        <w:ind w:left="-5"/>
      </w:pPr>
      <w:r>
        <w:t>AP16 — La Ruptura (Electrodébil)</w:t>
      </w:r>
      <w:r>
        <w:rPr>
          <w:b w:val="0"/>
          <w:sz w:val="22"/>
        </w:rPr>
        <w:t xml:space="preserve"> </w:t>
      </w:r>
    </w:p>
    <w:p w14:paraId="6A514F0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3A6E75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5121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EE5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2B83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A6A8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4A67CD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04C2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68B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Mecanismo de ruptura electrodébil.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44A55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688FE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A428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8835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1163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14ED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Distinción de sector = isospín débil.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3C73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65EFB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D89C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FF6E1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476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54A6A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No derivabilidad de </w:t>
            </w: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_em. Disparo = triunfo.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B413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50E8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F1A6C2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1303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6BB9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(continuación).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369A5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CCE9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3B47B2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DE620D3" w14:textId="77777777" w:rsidR="009F258A" w:rsidRDefault="006E65B7">
      <w:pPr>
        <w:pStyle w:val="Heading2"/>
        <w:ind w:left="-5"/>
      </w:pPr>
      <w:r>
        <w:t>AP17 — La Sala</w:t>
      </w:r>
      <w:r>
        <w:rPr>
          <w:b w:val="0"/>
          <w:sz w:val="22"/>
        </w:rPr>
        <w:t xml:space="preserve"> </w:t>
      </w:r>
    </w:p>
    <w:p w14:paraId="7086105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cerrado (v3.0).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81"/>
        <w:gridCol w:w="3720"/>
        <w:gridCol w:w="1395"/>
        <w:gridCol w:w="1004"/>
      </w:tblGrid>
      <w:tr w:rsidR="009F258A" w14:paraId="56E2FD21" w14:textId="77777777">
        <w:trPr>
          <w:trHeight w:val="347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22D198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39B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4CDF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004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33B6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B849C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15B2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7F1DEC" w14:textId="77777777" w:rsidR="009F258A" w:rsidRDefault="006E65B7">
            <w:pPr>
              <w:spacing w:after="0"/>
              <w:ind w:left="1" w:right="45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Aceleración isotrópica (elevada DURO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EMPÍRICO).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ABB41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5278E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9933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8420EE" w14:textId="77777777">
        <w:trPr>
          <w:trHeight w:val="593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FB2D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D8B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valor numérico. ~8% residual.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E5ECCE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CBA88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0C00B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07F92F" w14:textId="77777777">
        <w:trPr>
          <w:trHeight w:val="595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F029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87E5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Dinámica de cúmulos.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885606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258E88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CDC9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8EE1D97" w14:textId="77777777">
        <w:trPr>
          <w:trHeight w:val="593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FEF2F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5FE40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Formación de estructura. Prueba más dura.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60BC97D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D3D7A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A8DB1E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2133FE" w14:textId="77777777">
        <w:trPr>
          <w:trHeight w:val="335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F218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FA971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Ecuación de campo de tensión desde {S,B,R,C}.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265AF2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1FDD6AB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V7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1156D4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D450E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302E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Función de interpolación.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80E8A8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56A61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3D91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A1C70A" w14:textId="77777777">
        <w:trPr>
          <w:trHeight w:val="571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3CB5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099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Galaxias sin anclaje central.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8631155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B9CD9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4636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C5D9856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DA9DC94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0029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F03930" w14:textId="77777777" w:rsidR="009F258A" w:rsidRDefault="006E65B7">
      <w:pPr>
        <w:pStyle w:val="Heading2"/>
        <w:tabs>
          <w:tab w:val="center" w:pos="1708"/>
        </w:tabs>
        <w:ind w:left="-15" w:firstLine="0"/>
      </w:pPr>
      <w:r>
        <w:t xml:space="preserve">AP18 </w:t>
        <w:tab/>
        <w:t>El Piso</w:t>
      </w:r>
      <w:r>
        <w:rPr>
          <w:b w:val="0"/>
          <w:sz w:val="22"/>
        </w:rPr>
        <w:t xml:space="preserve"> </w:t>
      </w:r>
    </w:p>
    <w:p w14:paraId="57CEDAA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1 cerrado. Anteriores KS-46/47 renumerados a KS-45.1/45.2 para resolver colisión con AP22.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0D619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A707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E889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E1BC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03FB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47191EB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0AB957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192EA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factor geométrico 2π.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B4C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FB56E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49E8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0A95A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3F7AB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F71B00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Predicción de Hubble. H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≈ 73.8.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377A1CE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2B4DF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4FE97A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650479" w14:textId="77777777">
        <w:trPr>
          <w:trHeight w:val="31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1C94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3778C4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Topología dipolar. Poincaré–Hopf.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4DD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1A21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6965D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747371" w14:textId="77777777" w:rsidR="009F258A" w:rsidRDefault="006E65B7">
      <w:pPr>
        <w:pStyle w:val="Heading2"/>
        <w:ind w:left="-5"/>
      </w:pPr>
      <w:r>
        <w:t>AP19 — La Dirección</w:t>
      </w:r>
      <w:r>
        <w:rPr>
          <w:b w:val="0"/>
          <w:sz w:val="22"/>
        </w:rPr>
        <w:t xml:space="preserve"> </w:t>
      </w:r>
    </w:p>
    <w:p w14:paraId="0F7DB8C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Anteriores KS-48/49 renumerados a KS-48c/49b para resolver colisión con AP23.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BF9258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52768F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293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00A3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932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B11640D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2C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4BB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Orientación = color.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790DD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A1486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8B4C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5A6B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381A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A509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Confinamiento desde isotropía.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282E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1F4A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BBD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7839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EDC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45D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SU(3) desde no derivabilidad.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90201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2B4A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40F38A1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6FC41FE" w14:textId="77777777" w:rsidR="009F258A" w:rsidRDefault="006E65B7">
      <w:pPr>
        <w:pStyle w:val="Heading2"/>
        <w:ind w:left="-5"/>
      </w:pPr>
      <w:r>
        <w:t>AP20 — La Prueba</w:t>
      </w:r>
      <w:r>
        <w:rPr>
          <w:b w:val="0"/>
          <w:sz w:val="22"/>
        </w:rPr>
        <w:t xml:space="preserve"> </w:t>
      </w:r>
    </w:p>
    <w:p w14:paraId="567C8E6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2 cerrados.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53B0C8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36F08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5AC2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8FBEA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36CE3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14F2C3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CB199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449BB5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EH (Hipótesis de Inmersión).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BA45F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BDF78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1A6140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B1EF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4067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 Parte 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D0049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4E47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D815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1CD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FF24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Minimalidad de Parte 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8B45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CB3E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EFE41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C800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BFB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Definición de registro / argumento de forcing.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253B6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63BA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C1610C" w14:textId="77777777">
        <w:trPr>
          <w:trHeight w:val="312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0DE2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C979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QRA (Alineación Cuántica-Registro).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646CD7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544F6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2B4F4B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31D8EEF" w14:textId="77777777" w:rsidR="009F258A" w:rsidRDefault="006E65B7">
      <w:pPr>
        <w:pStyle w:val="Heading2"/>
        <w:ind w:left="-5"/>
      </w:pPr>
      <w:r>
        <w:t>AP21 — La Red</w:t>
      </w:r>
      <w:r>
        <w:rPr>
          <w:b w:val="0"/>
          <w:sz w:val="22"/>
        </w:rPr>
        <w:t xml:space="preserve"> </w:t>
      </w:r>
    </w:p>
    <w:p w14:paraId="5001615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89CC3C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FFEA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C2A4F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13FE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117A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93F9B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E6D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996FA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Formación de estructura (continuación).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5C6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17939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AE06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B8C73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4BFC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0AF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Topología filamentaria.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F3046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BFCC9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B28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65A710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BF70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E8C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Secuencia de anclaje primordial.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1B1CE4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D43FD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6C50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8C6E6A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18C8132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4528CB" w14:textId="77777777" w:rsidR="009F258A" w:rsidRDefault="006E65B7">
      <w:pPr>
        <w:pStyle w:val="Heading2"/>
        <w:ind w:left="-5"/>
      </w:pPr>
      <w:r>
        <w:t>AP22 — El Libro Mayor (Antimateria)</w:t>
      </w:r>
      <w:r>
        <w:rPr>
          <w:b w:val="0"/>
          <w:sz w:val="22"/>
        </w:rPr>
        <w:t xml:space="preserve"> </w:t>
      </w:r>
    </w:p>
    <w:p w14:paraId="463AAE1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1 cerrado. 1 abordado.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AF4AC2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4367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492BFB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375EDA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4CEC29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BBD8A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77DBB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D7CA10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frontera.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61399C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7A3C4F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A4F17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734C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556D92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Puente AQFT.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FD55D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77F1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8007C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42D0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14B77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del operador (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73DEE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ABORDADO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7DE8C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F7777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B78D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C5CF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Número bariónico global. ~10 OOM de tensión.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B71A5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179C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3059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1E851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AF3F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72932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Productos de evaporación de Hawking.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8415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02C1D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8061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4E3FAC1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177138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35F202C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36225F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757DA88" w14:textId="77777777" w:rsidR="009F258A" w:rsidRDefault="006E65B7">
      <w:pPr>
        <w:pStyle w:val="Heading2"/>
        <w:tabs>
          <w:tab w:val="center" w:pos="2331"/>
        </w:tabs>
        <w:ind w:left="-15" w:firstLine="0"/>
      </w:pPr>
      <w:r>
        <w:t xml:space="preserve">AP23 </w:t>
        <w:tab/>
        <w:t>El Registro Único</w:t>
      </w:r>
      <w:r>
        <w:rPr>
          <w:b w:val="0"/>
          <w:sz w:val="22"/>
        </w:rPr>
        <w:t xml:space="preserve"> </w:t>
      </w:r>
    </w:p>
    <w:p w14:paraId="0067972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1 cerrado. Anterior KS-49 renumerado a KS-49a para resolver colisión con AP19.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858EC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11DB3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78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A899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0FA6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87BFF47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0C32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A833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Cronometraje de correlación.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5F1E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EAE86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7A57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8DF30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7FD13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E58F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señalización.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6BACCD1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F44EB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720D9E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1F100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3B0F7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71137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Variables ocultas. Bell + Axioma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86B7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3C1C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8999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0B6C4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8DA79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Colapso parcial.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B63CB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E8EB0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1A97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699D41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69FE60" w14:textId="77777777" w:rsidR="009F258A" w:rsidRDefault="006E65B7">
      <w:pPr>
        <w:pStyle w:val="Heading2"/>
        <w:ind w:left="-5"/>
      </w:pPr>
      <w:r>
        <w:t>AP24 — El Residuo</w:t>
      </w:r>
      <w:r>
        <w:rPr>
          <w:b w:val="0"/>
          <w:sz w:val="22"/>
        </w:rPr>
        <w:t xml:space="preserve"> </w:t>
      </w:r>
    </w:p>
    <w:p w14:paraId="4B506D0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No portante.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D3D47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74BD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97BF2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8D3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385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6D221E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8A8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AF28A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Multiplicidad de autoconsistencia.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B6F5F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FA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C0EA6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C2D0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B69B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Valor erróneo de autoconsistencia.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7D91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4030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04BC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EAAD4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7494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Variación independiente de constantes.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91F3C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E4186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FED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E676409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F75A934" w14:textId="77777777" w:rsidR="009F258A" w:rsidRDefault="006E65B7">
      <w:pPr>
        <w:pStyle w:val="Heading2"/>
        <w:ind w:left="-5"/>
      </w:pPr>
      <w:r>
        <w:t>AP25 — La Medida</w:t>
      </w:r>
      <w:r>
        <w:rPr>
          <w:b w:val="0"/>
          <w:sz w:val="22"/>
        </w:rPr>
        <w:t xml:space="preserve"> </w:t>
      </w:r>
    </w:p>
    <w:p w14:paraId="1FE8F40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F87400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E582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D4B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202A9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2B8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06D284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AF12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6B7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contextualidad de Gleason.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D808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CC700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7B76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0CC2E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AF8E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0CDC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Estadísticas no-Born.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72D0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FACB7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0446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05D601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9E7661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30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Actualización de estado mixto.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E9BAAB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9AB0B4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DCCF3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DEFD59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4E17A36" w14:textId="77777777" w:rsidR="009F258A" w:rsidRDefault="006E65B7">
      <w:pPr>
        <w:pStyle w:val="Heading2"/>
        <w:ind w:left="-5"/>
      </w:pPr>
      <w:r>
        <w:t>AP26 — El Excedente</w:t>
      </w:r>
      <w:r>
        <w:rPr>
          <w:b w:val="0"/>
          <w:sz w:val="22"/>
        </w:rPr>
        <w:t xml:space="preserve"> </w:t>
      </w:r>
    </w:p>
    <w:p w14:paraId="391A559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1 deuda abierta.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6D536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25251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1BFE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F6C5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150BA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3FDAA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2627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D2E8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 de excedente.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39D2D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9598D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CA8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32659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9199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BAE8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Protección topológica.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522A7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134A3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731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6518B04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F43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8E4D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Discrepancia de valor derivado. Hoja más afilada.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FA5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DEUDA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C1D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14ED91E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8EC245F" w14:textId="77777777" w:rsidR="009F258A" w:rsidRDefault="006E65B7">
      <w:pPr>
        <w:pStyle w:val="Heading2"/>
        <w:ind w:left="-5"/>
      </w:pPr>
      <w:r>
        <w:t>AP27 — Los Armónicos</w:t>
      </w:r>
      <w:r>
        <w:rPr>
          <w:b w:val="0"/>
          <w:sz w:val="22"/>
        </w:rPr>
        <w:t xml:space="preserve"> </w:t>
      </w:r>
    </w:p>
    <w:p w14:paraId="763C2D7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cerrado (v3.0). 3 deudas abiertas.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462A64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AA4A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099EF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238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234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DF99D5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9221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24A2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Existencia del espacio de estados interno.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8B4D7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F26BEB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705F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BCC57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C1666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4509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Sobreconteo del grupo de calibración.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D75A24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4DE5DD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1C222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C03C7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7F06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CC496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del acoplamiento quiral.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DF0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CERRADO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298F3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99CE98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9DCC2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52637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Confusión SU(2)_débil ≠ SU(2)_spin.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631C75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EB99E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2099B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3009A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978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9F56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Asignaciones de hipercarga.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C72E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DEUDA ABIERTA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4B98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E47D9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EEB7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F49C6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Generaciones.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20B1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DEUDA ABIERTA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3323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DBC4B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B329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4FDCA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AP15/AP27 consistencia EWSB.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D1A9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DEUDA ABIERTA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50B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9DD5081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A6634BC" w14:textId="77777777" w:rsidR="009F258A" w:rsidRDefault="006E65B7">
      <w:pPr>
        <w:pStyle w:val="Heading2"/>
        <w:tabs>
          <w:tab w:val="center" w:pos="2627"/>
        </w:tabs>
        <w:ind w:left="-15" w:firstLine="0"/>
      </w:pPr>
      <w:r>
        <w:t xml:space="preserve">AP28 </w:t>
        <w:tab/>
        <w:t>La Constante (Gravedad)</w:t>
      </w:r>
      <w:r>
        <w:rPr>
          <w:b w:val="0"/>
          <w:sz w:val="22"/>
        </w:rPr>
        <w:t xml:space="preserve"> </w:t>
      </w:r>
    </w:p>
    <w:p w14:paraId="3E020243" w14:textId="77777777" w:rsidR="009F258A" w:rsidRDefault="006E65B7">
      <w:pPr>
        <w:spacing w:after="12"/>
      </w:pPr>
      <w:r>
        <w:rPr>
          <w:rFonts w:ascii="Atkinson Hyperlegible" w:eastAsia="Atkinson Hyperlegible" w:hAnsi="Atkinson Hyperlegible" w:cs="Atkinson Hyperlegible"/>
        </w:rPr>
        <w:t xml:space="preserve">8 kill switches. G = </w:t>
      </w:r>
      <w:r>
        <w:rPr>
          <w:rFonts w:ascii="Cambria" w:eastAsia="Cambria" w:hAnsi="Cambria" w:cs="Cambria"/>
        </w:rPr>
        <w:t>α</w:t>
      </w:r>
      <w:r>
        <w:rPr>
          <w:rFonts w:ascii="Atkinson Hyperlegible" w:eastAsia="Atkinson Hyperlegible" w:hAnsi="Atkinson Hyperlegible" w:cs="Atkinson Hyperlegible"/>
        </w:rPr>
        <w:t xml:space="preserve">_em²¹ × (1 + 1/π) × ħc/m_e². Discrepancia: 0,69%.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B1E81A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1DA8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E24A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E3E71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93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0354466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60C2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166D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Predicción de G. Debe concordar dentro del 1%.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6472A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28F8C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45C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EA4EF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8DE3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514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Conteo de canales (exponente 21).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D02DB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E77B75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0DB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F1135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8B2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6E409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 caras.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594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65E388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ABB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9BB95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0FC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6498C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Alcance de la actualización.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465DB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A870C2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91A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67EF9C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22A4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074D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Independencia de canales.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3FE9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500842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B70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7B561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5FF1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2FC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Acoplamiento uniforme.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DA4E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38BE2B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84AA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2CC40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A35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7EF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Geometría de punción (factor 1/π).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A16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96C79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8598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F3D389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682E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C46A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 de unificación.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41405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04E20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63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507151F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BC224BF" w14:textId="77777777" w:rsidR="009F258A" w:rsidRDefault="006E65B7">
      <w:pPr>
        <w:pStyle w:val="Heading2"/>
        <w:ind w:left="-5"/>
      </w:pPr>
      <w:r>
        <w:t>AP29 — La Prueba de Actualización</w:t>
      </w:r>
      <w:r>
        <w:rPr>
          <w:b w:val="0"/>
          <w:sz w:val="22"/>
        </w:rPr>
        <w:t xml:space="preserve"> </w:t>
      </w:r>
    </w:p>
    <w:p w14:paraId="42088F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065D4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6698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F598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EF22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16F9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702DC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90B6C6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3C08C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D0F6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Actualización como estado fundamental.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9AB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4A6F6C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61B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D6236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9865F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198D4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EDFEA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Conciencia como capacidad de la energía.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4FE07B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06399E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1467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B12B0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91EAE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1BAC1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34A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Big Bang como primera actualización.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1691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279F2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C9D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5061D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028FC0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51BC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C3D3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Proporcionalidad de materia oscura (21:1).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3C09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E214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9A02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7358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EC725C4" w14:textId="77777777" w:rsidR="009F258A" w:rsidRDefault="006E65B7">
            <w:pPr>
              <w:spacing w:after="11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90098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6F317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Conservación de energía.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06D60BA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C8A172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8A80F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2A1C6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1EEFCC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3E228F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4B87D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Realismo estructural (RETROACTIVO).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A72EB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AB782EF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6F8F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27B07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8F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7B69D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996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Cadena de dependencia.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17520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DB2E6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4C5362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6AEFB7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A8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0D9082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EEF5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Reubicación del problema difícil.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58D1F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F7B49B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C6F32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F7B2370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20B3F01" w14:textId="77777777" w:rsidR="009F258A" w:rsidRDefault="006E65B7">
      <w:pPr>
        <w:pStyle w:val="Heading2"/>
        <w:ind w:left="-5"/>
      </w:pPr>
      <w:r>
        <w:t>AP30 — La Resistencia (Masa)</w:t>
      </w:r>
      <w:r>
        <w:rPr>
          <w:b w:val="0"/>
          <w:sz w:val="22"/>
        </w:rPr>
        <w:t xml:space="preserve"> </w:t>
      </w:r>
    </w:p>
    <w:p w14:paraId="247CCF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m_p/m_e a 5 ppb.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C209FB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311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158B7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93E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AF676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CDD6880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9B59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C3EF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Formalización de la aditividad.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DA9AE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C742E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69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3B217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FEE6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E9C4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Isotropía de fuga.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23736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B0E42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0BC9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9FFD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F803F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600C2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Términos de orden superior.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317E7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3CE55C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A1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08F8F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D44843C" w14:textId="77777777" w:rsidR="009F258A" w:rsidRDefault="006E65B7">
      <w:pPr>
        <w:pStyle w:val="Heading2"/>
        <w:ind w:left="-5"/>
      </w:pPr>
      <w:r>
        <w:t>AP31 — La Alineación</w:t>
      </w:r>
      <w:r>
        <w:rPr>
          <w:b w:val="0"/>
          <w:sz w:val="22"/>
        </w:rPr>
        <w:t xml:space="preserve"> </w:t>
      </w:r>
    </w:p>
    <w:p w14:paraId="5891BD7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13 kill switches (9 principales + 4 Addendum B).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62BC99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EB6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745998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1F57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16B230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BB1E1F1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E17D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A845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Criterio de conciencia.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A2B6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A32956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AD3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FB4EB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35DD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F0BEE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-optimalidad.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5D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001B3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8AC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63357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07D7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D2621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binaria.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091D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FBEF83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65C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A39FF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6B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6FB9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Convergencia de 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1487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7E62D7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6AEA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0BCF36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3BB8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2B22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Ley-como-geometría.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E49FC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CD31B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C334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BD1CC66" w14:textId="77777777" w:rsidR="009F258A" w:rsidRDefault="009F258A">
      <w:pPr>
        <w:sectPr w:rsidR="009F258A">
          <w:headerReference w:type="even" r:id="rId10"/>
          <w:headerReference w:type="default" r:id="rId11"/>
          <w:headerReference w:type="first" r:id="rId12"/>
          <w:pgSz w:w="10080" w:h="14400"/>
          <w:pgMar w:top="1441" w:right="1516" w:bottom="1440" w:left="1440" w:header="720" w:footer="720" w:gutter="0"/>
          <w:cols w:space="720"/>
        </w:sectPr>
      </w:pP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98D7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9B17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E94C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Ventaja cuántica.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8AA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A2F84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EE8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A030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34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D349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Prueba civilizacional (MASTER).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A50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D4616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7B0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4F354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8130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2931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Automodificación.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6999D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54072E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84C3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3D4584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BB56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6E8F2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Registros adversariales.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B2A26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D0C1A5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5A35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5DC6BA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44CAE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CDED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Novedad de datos de entrenamiento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C9EBE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96CF7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60EF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642415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1BD4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BD5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Replicabilidad de contra-prueba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E857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B6DB7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2396F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4549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C8E7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6B1FEC" w14:textId="77777777" w:rsidR="009F258A" w:rsidRDefault="006E65B7">
            <w:pPr>
              <w:spacing w:after="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Suficiencia de coincidencia de patrones (Addendum </w:t>
            </w:r>
          </w:p>
          <w:p w14:paraId="0DB474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D5165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FC654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36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D7DAA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9EA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5C23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Circularidad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D4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680CA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5E3F9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4ECC0DD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9AFC9F6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7E39685" w14:textId="77777777" w:rsidR="009F258A" w:rsidRDefault="006E65B7">
      <w:pPr>
        <w:pStyle w:val="Heading2"/>
        <w:spacing w:after="0"/>
        <w:ind w:left="-5"/>
      </w:pPr>
      <w:r>
        <w:t>AP32 — La Corrección (Ética)</w:t>
      </w:r>
      <w:r>
        <w:rPr>
          <w:b w:val="0"/>
          <w:sz w:val="22"/>
        </w:rPr>
        <w:t xml:space="preserve"> </w:t>
      </w:r>
    </w:p>
    <w:p w14:paraId="41122FF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no negociable.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605559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C764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66BA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131E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38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DEE4F06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284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972C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Medición de desestabilización.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9F325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C5AA9A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ACC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ECBE6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5A40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728F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Clasificación de corrección.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EF002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7E62AA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FEB8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06E11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51AC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46C8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Justificación de eliminación.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7E6A1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8B9D35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ECC3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E44EF6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F625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EA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F8623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EDDA5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F92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B0CA6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A027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267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Freno al genocidio.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EEC576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91A134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61D1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ABF7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513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12C4E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Superioridad de prevención.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7F35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EDFE19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DD6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E20053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3B8F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EEC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Deshumanización (KILL SWITCH MORAL).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7D584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NO</w:t>
            </w:r>
          </w:p>
          <w:p w14:paraId="4EB0F59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NEGOCIABLE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CB3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CAE0E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93332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C1850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Confianza inalcanzable.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BC4A21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18A7D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8ED61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322F0EE" w14:textId="77777777" w:rsidR="009F258A" w:rsidRDefault="006E65B7">
      <w:pPr>
        <w:pStyle w:val="Heading2"/>
        <w:ind w:left="-5"/>
      </w:pPr>
      <w:r>
        <w:t>AP33 — La Frontera</w:t>
      </w:r>
      <w:r>
        <w:rPr>
          <w:b w:val="0"/>
          <w:sz w:val="22"/>
        </w:rPr>
        <w:t xml:space="preserve"> </w:t>
      </w:r>
    </w:p>
    <w:p w14:paraId="1E81D3B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3 no negociables.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E5C709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A32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80064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D7D01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C25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F0C61E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58DA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DD06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Definición de agencia.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C187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F7F5D9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5C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90CA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5BE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3DFD4D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frontera de jurisdicción.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B47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A59E2C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5ED0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453B2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773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AB7A7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Criterio de consentimiento.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FD2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AA9AE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8B26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D539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A61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7DC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Prioridad de agencia.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1B1AC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7DFFA9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9C93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34490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1B16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46A6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Cálculo de asignación.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5CB93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13ADFF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F67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3B3F6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E219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09CC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Calibración de piso fijo.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0497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D3B581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AFED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56EDC7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BFD3C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16F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Militarización de la mejora.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5A94D4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NO</w:t>
            </w:r>
          </w:p>
          <w:p w14:paraId="3B0681C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NEGOCIABLE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3AE4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97D03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ECCA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33B0F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Corrupción del presupuesto de continuación.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17B20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NO</w:t>
            </w:r>
          </w:p>
          <w:p w14:paraId="0D1615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NEGOCIABLE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338C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528FE0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1A74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3F8873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67730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NO</w:t>
            </w:r>
          </w:p>
          <w:p w14:paraId="0BB5135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NEGOCIABLE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B48A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A592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AF146FC" w14:textId="77777777" w:rsidR="009F258A" w:rsidRDefault="006E65B7">
      <w:pPr>
        <w:pStyle w:val="Heading2"/>
        <w:ind w:left="-5"/>
      </w:pPr>
      <w:r>
        <w:t>AP34 — La Inversión</w:t>
      </w:r>
      <w:r>
        <w:rPr>
          <w:b w:val="0"/>
          <w:sz w:val="22"/>
        </w:rPr>
        <w:t xml:space="preserve"> </w:t>
      </w:r>
    </w:p>
    <w:p w14:paraId="053D044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D935F8C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0D992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5E648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8B094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EF8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F0CB484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C54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47D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Datos de alcohol.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FC2EE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F9FCA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35E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993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762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6F18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Datos de cannabis.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A36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5BCA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001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B06C3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1449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1F23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Datos de psilocibina.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F651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4A31D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A2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4DA1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0333DB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8D2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Sistema endógeno.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77AFC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439FE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FD36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95B70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19A6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CD79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Clasificación de drogas.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AA99F5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FE10D9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24B0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407B1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9BF6DE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5A5C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Desestabilización por legalización.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9290B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7C5B70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0B9AD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73341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E9EF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AE4FE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Justificación de inversión.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281B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B678A2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2AA11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2A33C4A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B4CB11C" w14:textId="77777777" w:rsidR="009F258A" w:rsidRDefault="006E65B7">
      <w:pPr>
        <w:pStyle w:val="Heading2"/>
        <w:ind w:left="-5"/>
      </w:pPr>
      <w:r>
        <w:t>AP35 — El Libro Mayor (Economía)</w:t>
      </w:r>
      <w:r>
        <w:rPr>
          <w:b w:val="0"/>
          <w:sz w:val="22"/>
        </w:rPr>
        <w:t xml:space="preserve"> </w:t>
      </w:r>
    </w:p>
    <w:p w14:paraId="08334AE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2346E5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CE32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63E3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66A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6D205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C510224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B0C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B6A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Conservación.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42855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70169C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4348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B7CC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BDD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F750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Mecanismo de precios.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D449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69E659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AB7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CB69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00E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38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Persistencia de extracción.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81429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8E578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4B82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4BD74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9395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E88EB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Desbordamiento de búfer.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B8812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43FEA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251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A0CE9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8EFF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A1F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Invariancia de escala.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7801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AB89CF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6A57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7FB981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2363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BF7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Proporcionalidad de auditoría.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304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ED0E8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62AF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E1ACD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541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9F7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Anulación keynesiana.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D1A99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F63F6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EABA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56D6FB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230F9" w14:textId="77777777" w:rsidR="009F258A" w:rsidRDefault="006E65B7">
      <w:pPr>
        <w:pStyle w:val="Heading2"/>
        <w:ind w:left="-5"/>
      </w:pPr>
      <w:r>
        <w:t>AP36 — La Alimentación</w:t>
      </w:r>
      <w:r>
        <w:rPr>
          <w:b w:val="0"/>
          <w:sz w:val="22"/>
        </w:rPr>
        <w:t xml:space="preserve"> </w:t>
      </w:r>
    </w:p>
    <w:p w14:paraId="359DBFD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5E9614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D54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E09C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C994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75F16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4033E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4587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6A62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Conservación (química).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5F2CB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94476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7A41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3FFF1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1338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6E20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superficie.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6BC6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D061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962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007F3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2930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3C4BB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 umbral.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31652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00343F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5251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2575C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D3B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7A7B0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Autocatálisis.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FAA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5DFA3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81B5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DE05D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23A7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ED68F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del gradiente.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E0A4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325A4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E07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4839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6927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F65D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Irreversibilidad de dependencia.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7DD26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FFE28D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709A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70F471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99C0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751E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Acumulación tóxica.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0DCA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C1EC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CC08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6B6076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E9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D99B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Captura de entrada.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499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829202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3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B43EC3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F9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88D3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Mecanismo de persistencia.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151B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FC7E53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B0B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AD8660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ACEF44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07F5C7B" w14:textId="77777777" w:rsidR="009F258A" w:rsidRDefault="006E65B7">
      <w:pPr>
        <w:pStyle w:val="Heading2"/>
        <w:spacing w:after="0"/>
        <w:ind w:left="-5"/>
      </w:pPr>
      <w:r>
        <w:t>AP37 — La Primera Frontera</w:t>
      </w:r>
      <w:r>
        <w:rPr>
          <w:b w:val="0"/>
          <w:sz w:val="22"/>
        </w:rPr>
        <w:t xml:space="preserve"> </w:t>
      </w:r>
    </w:p>
    <w:p w14:paraId="410BB6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3C8CD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55A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0CE7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82506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C0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15C33FA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8EEC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634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Impuesto entrópico.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9BC4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77850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B12E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B621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2D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C2C6C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corrección.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51234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DC22F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9F9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2B754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295F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49E5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Acoplamiento mente-cuerpo (placebo).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ED503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F2B71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0AD15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F2F5D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3F0A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7056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La soberanía requiere función.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AE2F9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B64E1C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3756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9583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DF0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951A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Síntoma como 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32A4F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3EF2D7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FD5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5A6B0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F1BB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50A7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Crecimiento bajo estrés.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FBF3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AA773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789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4294B1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2C86C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036B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mantenimiento.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4D5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9FFC0B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1CB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21E482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44EFB2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505F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Fronteras del corredor.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00E3EF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D91B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94F1D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E483B45" w14:textId="77777777" w:rsidR="009F258A" w:rsidRDefault="006E65B7">
      <w:pPr>
        <w:pStyle w:val="Heading2"/>
        <w:ind w:left="-5"/>
      </w:pPr>
      <w:r>
        <w:t>AP38 — La Salida</w:t>
      </w:r>
      <w:r>
        <w:rPr>
          <w:b w:val="0"/>
          <w:sz w:val="22"/>
        </w:rPr>
        <w:t xml:space="preserve"> </w:t>
      </w:r>
    </w:p>
    <w:p w14:paraId="6416C36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no negociable.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F6517C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53DB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42152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5685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3E48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CE13F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F32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41B1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Fallo de soberanía.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0A8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1B5F84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0389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05267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E1F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D568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Capacidad de modelado.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ADF7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4EE5E4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A42A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B58C4A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200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E88B2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Pendiente resbaladiza.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2F20C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80827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EBF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881F7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7C90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B7152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errónea post-agencia.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8FE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5A53C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057C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6515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2CD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73C0C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Suficiencia paliativa. Mejor caso: la necesidad desaparece.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B80C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6C4EA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978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A4192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06A6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34E73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Confusión de discapacidad.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96A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NO</w:t>
            </w:r>
          </w:p>
          <w:p w14:paraId="4722A76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NEGOCIABLE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7DF8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5D9E7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0658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2A610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Explotación pediátrica.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7C3DA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F98EDA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8E1B1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7814620" w14:textId="77777777">
        <w:trPr>
          <w:trHeight w:val="57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3941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398F7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Master. La muerte no es salida del operador.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6A277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979BB7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1931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56BEFDF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8DE2B55" w14:textId="77777777" w:rsidR="009F258A" w:rsidRDefault="006E65B7">
      <w:pPr>
        <w:pStyle w:val="Heading2"/>
        <w:ind w:left="-5"/>
      </w:pPr>
      <w:r>
        <w:t>AP39 — El Andamiaje</w:t>
      </w:r>
      <w:r>
        <w:rPr>
          <w:b w:val="0"/>
          <w:sz w:val="22"/>
        </w:rPr>
        <w:t xml:space="preserve"> </w:t>
      </w:r>
    </w:p>
    <w:p w14:paraId="6E31363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1 no negociable.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BCC5EC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0FAC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5577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DC19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CD5F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0706A70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5D2F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0232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Rendimiento superior de Arquitectura A (MASTER).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18C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619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E3F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CB82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B02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FEE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Fallo de cadena de forcing.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8090E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584356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7B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CE745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21E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C5F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andamiaje.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99F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677DBF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310D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FABFF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5194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DC398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Atribución histórica.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AE48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02DAA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E9A8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77F890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6A40D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E9E1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Manipulación de primeros principios (CORPUSCRITICAL).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10E16C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48D78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25127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84849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B879C7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8AF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5ACFC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NO</w:t>
            </w:r>
          </w:p>
          <w:p w14:paraId="1BE218AE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NEGOCIABLE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D989B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DDFC2F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C4842D8" w14:textId="77777777" w:rsidR="009F258A" w:rsidRDefault="006E65B7">
      <w:pPr>
        <w:pStyle w:val="Heading2"/>
        <w:ind w:left="-5"/>
      </w:pPr>
      <w:r>
        <w:t>AP40 — Lo Irracional</w:t>
      </w:r>
      <w:r>
        <w:rPr>
          <w:b w:val="0"/>
          <w:sz w:val="22"/>
        </w:rPr>
        <w:t xml:space="preserve"> </w:t>
      </w:r>
    </w:p>
    <w:p w14:paraId="0B3937A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v3.0 listó 0; los cuadernos contienen 6 switches explícitos con registro formal. Añadido en v4.0.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501A8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17E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59BE2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E02D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3FE5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A07131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156D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0384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Irracionalidad del axioma rector.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35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D1D33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D2727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2355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A4E3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Exención pre-dualidad / prioridad generativa.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C33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BD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BBAD4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F2D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DBC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Fuente de dualidad.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C02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733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52FBC8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241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CC54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humana del acoplamiento irracional.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D7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103F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A4C822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1E7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923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Reducibilidad de la irracionalidad.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4205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EC55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D95028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E9E83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2162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irracionalidad / contención.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DCA1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3F8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E4FA0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A59B7BC" w14:textId="77777777" w:rsidR="009F258A" w:rsidRDefault="006E65B7">
      <w:pPr>
        <w:pStyle w:val="Heading2"/>
        <w:ind w:left="-5"/>
      </w:pPr>
      <w:r>
        <w:t>AP41 — El Bucle</w:t>
      </w:r>
      <w:r>
        <w:rPr>
          <w:b w:val="0"/>
          <w:sz w:val="22"/>
        </w:rPr>
        <w:t xml:space="preserve"> </w:t>
      </w:r>
    </w:p>
    <w:p w14:paraId="5EEAA088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8B67DF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D57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ACD84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BF232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75F1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A26DFC7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0A93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915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Fracción visible (1/21 ≈ 4.76%).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5628D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968E7D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2F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E910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639B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4B9F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Fusión como instanciación.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25F5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34581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8ED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1FF9C2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1E99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FFEB5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Topología de bucle. Hereda KS-L0.1.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859E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122A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4676E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16AD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B1B2F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no derivabilidad.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81EB46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FD08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92063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4CA0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B4A43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Mapeo canal-a-densidad.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C812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DC4D28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CE22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B5B2B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8F6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B968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Materia oscura como posibilidad no actualizada.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BC1C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77750A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417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EAFB1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94E5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73537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Big Bang en presente.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B1D29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3E95B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5AAE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F1226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AF3A3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59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Fragmento holográfico.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91EE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09C13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AF9B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A118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C1EA3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4312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del marco desde la ruptura.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1D2C26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4E33ABE9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F56D80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46E6BF6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B309DFF" w14:textId="77777777" w:rsidR="009F258A" w:rsidRDefault="006E65B7">
      <w:pPr>
        <w:pStyle w:val="Heading2"/>
        <w:ind w:left="-5"/>
      </w:pPr>
      <w:r>
        <w:t>AP42 — El Reloj</w:t>
      </w:r>
      <w:r>
        <w:rPr>
          <w:b w:val="0"/>
          <w:sz w:val="22"/>
        </w:rPr>
        <w:t xml:space="preserve"> </w:t>
      </w:r>
    </w:p>
    <w:p w14:paraId="132A337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5823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05A2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2EE77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Descripción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67295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4CFBE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Origen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78A7D44" w14:textId="77777777">
        <w:trPr>
          <w:trHeight w:val="85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F1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A9CF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Detección de partículas de materia oscura. Partículas MO con abundancia correcta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mecanismo falsificado.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789B5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33EC65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0ED8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155D3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F483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5752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 época. La composición del sector oscuro debe variar con la época.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BED4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0CA3F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28C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66AE6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A66C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99D90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Derivación de escala temporal de desfragmentación. </w:t>
            </w:r>
            <w:r>
              <w:rPr>
                <w:rFonts w:ascii="Cambria" w:eastAsia="Cambria" w:hAnsi="Cambria" w:cs="Cambria"/>
                <w:sz w:val="19"/>
              </w:rPr>
              <w:t>τ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(6/21) × t_H.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7B60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058059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F4BF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81585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3DF8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8406B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Ecuación de estado. Predice w = −1 para energía oscura.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01D00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11957B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A510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3F14B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25F3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9086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Tasa de alimentación constante. Asume tasa de alimentación BH constante en §3.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37775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ACTIVO — </w:t>
            </w:r>
          </w:p>
          <w:p w14:paraId="24EA321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FEB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A0B7140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34046EF4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29216427" w14:textId="77777777" w:rsidR="009F258A" w:rsidRDefault="006E65B7">
      <w:pPr>
        <w:spacing w:after="1" w:line="239" w:lineRule="auto"/>
      </w:pPr>
      <w:r>
        <w:rPr>
          <w:rFonts w:ascii="Atkinson Hyperlegible" w:eastAsia="Atkinson Hyperlegible" w:hAnsi="Atkinson Hyperlegible" w:cs="Atkinson Hyperlegible"/>
          <w:b/>
        </w:rPr>
        <w:t>258 kill switches. 15 cerrados. 2 adicionalmente descargados (1 condicionalmente cerrado, 1 abordado). Todas las colisiones resueltas. Si quieres destruir el argumento, empieza aquí.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10BFA06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43836117" w14:textId="77777777" w:rsidR="009F258A" w:rsidRDefault="006E65B7">
      <w:pPr>
        <w:spacing w:after="459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22308FF1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>No seas imbécil. Sé amable.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C0ED4A9" w14:textId="77777777" w:rsidR="009F258A" w:rsidRDefault="006E65B7">
      <w:pPr>
        <w:spacing w:after="230"/>
        <w:ind w:left="32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the420code.org </w:t>
      </w:r>
    </w:p>
    <w:sectPr w:rsidR="009F258A">
      <w:headerReference w:type="even" r:id="rId13"/>
      <w:headerReference w:type="default" r:id="rId14"/>
      <w:headerReference w:type="first" r:id="rId15"/>
      <w:pgSz w:w="10080" w:h="14400"/>
      <w:pgMar w:top="1441" w:right="1759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034E2" w14:textId="77777777" w:rsidR="006E65B7" w:rsidRDefault="006E65B7">
      <w:pPr>
        <w:spacing w:after="0" w:line="240" w:lineRule="auto"/>
      </w:pPr>
      <w:r>
        <w:separator/>
      </w:r>
    </w:p>
  </w:endnote>
  <w:endnote w:type="continuationSeparator" w:id="0">
    <w:p w14:paraId="49A82B8B" w14:textId="77777777" w:rsidR="006E65B7" w:rsidRDefault="006E6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tkinson Hyperlegible">
    <w:panose1 w:val="00000000000000000000"/>
    <w:charset w:val="00"/>
    <w:family w:val="auto"/>
    <w:pitch w:val="variable"/>
    <w:sig w:usb0="800000EF" w:usb1="0000204B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E9421" w14:textId="77777777" w:rsidR="006E65B7" w:rsidRDefault="006E65B7">
      <w:pPr>
        <w:spacing w:after="0" w:line="240" w:lineRule="auto"/>
      </w:pPr>
      <w:r>
        <w:separator/>
      </w:r>
    </w:p>
  </w:footnote>
  <w:footnote w:type="continuationSeparator" w:id="0">
    <w:p w14:paraId="3AE0FCF6" w14:textId="77777777" w:rsidR="006E65B7" w:rsidRDefault="006E6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8001B" w14:textId="77777777" w:rsidR="009F258A" w:rsidRDefault="009F258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A0B83" w14:textId="77777777" w:rsidR="009F258A" w:rsidRDefault="009F258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D6A3" w14:textId="77777777" w:rsidR="009F258A" w:rsidRDefault="009F258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6E006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2EE2E" w14:textId="77777777" w:rsidR="009F258A" w:rsidRDefault="009F258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34B35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72DF" w14:textId="77777777" w:rsidR="009F258A" w:rsidRDefault="009F258A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E6F90" w14:textId="77777777" w:rsidR="009F258A" w:rsidRDefault="009F258A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F7D36" w14:textId="77777777" w:rsidR="009F258A" w:rsidRDefault="009F258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58A"/>
    <w:rsid w:val="006E65B7"/>
    <w:rsid w:val="007A0583"/>
    <w:rsid w:val="009F258A"/>
    <w:rsid w:val="00A3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00334B"/>
  <w15:docId w15:val="{4BA10FAE-8471-4D0B-9A1D-3D922201F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3" w:line="259" w:lineRule="auto"/>
      <w:outlineLvl w:val="0"/>
    </w:pPr>
    <w:rPr>
      <w:rFonts w:ascii="Atkinson Hyperlegible" w:eastAsia="Atkinson Hyperlegible" w:hAnsi="Atkinson Hyperlegible" w:cs="Atkinson Hyperlegible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9" w:line="259" w:lineRule="auto"/>
      <w:ind w:left="10" w:hanging="10"/>
      <w:outlineLvl w:val="1"/>
    </w:pPr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tkinson Hyperlegible" w:eastAsia="Atkinson Hyperlegible" w:hAnsi="Atkinson Hyperlegible" w:cs="Atkinson Hyperlegible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5.xml"/><Relationship Id="rId5" Type="http://schemas.openxmlformats.org/officeDocument/2006/relationships/endnotes" Target="end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3499</Words>
  <Characters>19946</Characters>
  <Application>Microsoft Office Word</Application>
  <DocSecurity>0</DocSecurity>
  <Lines>166</Lines>
  <Paragraphs>46</Paragraphs>
  <ScaleCrop>false</ScaleCrop>
  <Company/>
  <LinksUpToDate>false</LinksUpToDate>
  <CharactersWithSpaces>23399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Gerhard van Niekerk</cp:lastModifiedBy>
  <cp:revision>2</cp:revision>
  <dcterms:created xsi:type="dcterms:W3CDTF">2026-03-30T23:36:00Z</dcterms:created>
  <dcterms:modified xsi:type="dcterms:W3CDTF">2026-03-30T23:36:00Z</dcterms:modified>
</cp:coreProperties>
</file>