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05ACC" w14:textId="77777777" w:rsidR="009F258A" w:rsidRDefault="006E65B7">
      <w:pPr>
        <w:spacing w:after="230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6847EF44" w14:textId="77777777" w:rsidR="009F258A" w:rsidRDefault="006E65B7">
      <w:pPr>
        <w:spacing w:after="423"/>
        <w:ind w:left="89"/>
        <w:jc w:val="center"/>
      </w:pPr>
      <w:r>
        <w:rPr>
          <w:rFonts w:ascii="Atkinson Hyperlegible" w:eastAsia="Atkinson Hyperlegible" w:hAnsi="Atkinson Hyperlegible" w:cs="Atkinson Hyperlegible"/>
          <w:b/>
          <w:sz w:val="48"/>
        </w:rPr>
        <w:t>Registro Principale dei Kill Switch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AB2F585" w14:textId="77777777" w:rsidR="009F258A" w:rsidRDefault="006E65B7">
      <w:pPr>
        <w:spacing w:after="425"/>
        <w:ind w:left="87"/>
        <w:jc w:val="center"/>
      </w:pPr>
      <w:r>
        <w:rPr>
          <w:rFonts w:ascii="Atkinson Hyperlegible" w:eastAsia="Atkinson Hyperlegible" w:hAnsi="Atkinson Hyperlegible" w:cs="Atkinson Hyperlegible"/>
          <w:sz w:val="36"/>
        </w:rPr>
        <w:t>The 420 Code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E81C5C9" w14:textId="77777777" w:rsidR="009F258A" w:rsidRDefault="006E65B7">
      <w:pPr>
        <w:spacing w:after="837"/>
        <w:ind w:left="92"/>
        <w:jc w:val="center"/>
      </w:pPr>
      <w:r>
        <w:rPr>
          <w:rFonts w:ascii="Atkinson Hyperlegible" w:eastAsia="Atkinson Hyperlegible" w:hAnsi="Atkinson Hyperlegible" w:cs="Atkinson Hyperlegible"/>
          <w:i/>
          <w:sz w:val="28"/>
        </w:rPr>
        <w:t>Versione 4.0 — Marzo 2026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38D7B06" w14:textId="77777777" w:rsidR="009F258A" w:rsidRDefault="006E65B7">
      <w:pPr>
        <w:spacing w:after="248"/>
        <w:ind w:left="1368"/>
      </w:pPr>
      <w:r>
        <w:rPr>
          <w:rFonts w:ascii="Atkinson Hyperlegible" w:eastAsia="Atkinson Hyperlegible" w:hAnsi="Atkinson Hyperlegible" w:cs="Atkinson Hyperlegible"/>
          <w:sz w:val="24"/>
        </w:rPr>
        <w:t>258 kill switches su 42 Artist’s Proofs.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5B56834" w14:textId="77777777" w:rsidR="009F258A" w:rsidRDefault="006E65B7">
      <w:pPr>
        <w:spacing w:after="867"/>
        <w:ind w:left="99" w:right="8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15 chiusi. 231 attivi. 1 affrontato. 4 debito aperto. 1 condizionalmente chiuso. 6 non negoziabili. </w:t>
      </w:r>
    </w:p>
    <w:p w14:paraId="3B6B5042" w14:textId="77777777" w:rsidR="009F258A" w:rsidRDefault="006E65B7">
      <w:pPr>
        <w:spacing w:after="579" w:line="314" w:lineRule="auto"/>
        <w:ind w:left="7"/>
        <w:jc w:val="center"/>
      </w:pPr>
      <w:r>
        <w:rPr>
          <w:rFonts w:ascii="Atkinson Hyperlegible" w:eastAsia="Atkinson Hyperlegible" w:hAnsi="Atkinson Hyperlegible" w:cs="Atkinson Hyperlegible"/>
          <w:i/>
          <w:sz w:val="24"/>
        </w:rPr>
        <w:t>Ogni affermazione è formulata. Ogni kill switch è pubblicato. Ogni esperimento è specificato.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EF2C4C0" w14:textId="77777777" w:rsidR="009F258A" w:rsidRDefault="006E65B7">
      <w:pPr>
        <w:spacing w:after="230"/>
        <w:ind w:left="9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Pubblicato gratuitamente per sempre </w:t>
      </w:r>
    </w:p>
    <w:p w14:paraId="6272CC3F" w14:textId="77777777" w:rsidR="009F258A" w:rsidRDefault="006E65B7">
      <w:pPr>
        <w:pStyle w:val="Heading1"/>
      </w:pPr>
      <w:r>
        <w:t>Switch Chiusi — Lista Completa</w:t>
      </w:r>
      <w:r>
        <w:rPr>
          <w:b w:val="0"/>
          <w:sz w:val="22"/>
        </w:rPr>
        <w:t xml:space="preserve"> </w:t>
      </w:r>
    </w:p>
    <w:p w14:paraId="6912663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Quindici switch sono stati formalmente scaricati. Inoltre: 1 condizionalmente chiuso (KS-Q.1), 1 affrontato (KS-46C).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BE84B2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1E7A0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DF7A1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0025B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58935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89CFB8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97E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43C747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coniugazione complessa. </w:t>
            </w:r>
            <w:r>
              <w:rPr>
                <w:rFonts w:ascii="Cambria Math" w:eastAsia="Cambria Math" w:hAnsi="Cambria Math" w:cs="Cambria Math"/>
                <w:sz w:val="19"/>
              </w:rPr>
              <w:t>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ha esattamente due automorfismi di campo che fissano </w:t>
            </w:r>
            <w:r>
              <w:rPr>
                <w:rFonts w:ascii="Cambria Math" w:eastAsia="Cambria Math" w:hAnsi="Cambria Math" w:cs="Cambria Math"/>
                <w:sz w:val="19"/>
              </w:rPr>
              <w:t>ℝ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E4C4D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036927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4495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9694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5D8A6A2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Ipotesi di Immersione (EH). Condizione centrale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teorema.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637D4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83E30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C3FA444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4DFB4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511F26F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Alineación Cuántica-Registro (QRA). </w:t>
            </w:r>
          </w:p>
          <w:p w14:paraId="0C8E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Los estados cuánticos SON registros pre-estado.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0F97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33AA7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8FAB01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08D87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 / 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8CF4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N = 3 dimensiones espaciales. Cuatro axiomas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cuatro caras.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836C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EF5D8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DD82C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AA013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 / KS-D.2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A2AB2F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Asignación axioma-a-dimensión. R únicamente irreversible.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320651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CD379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EA58F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7EFD4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AE9D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de {S, B, R, C}. Quinto GDL = espacio de Hilbert.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3CAE0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903EE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0C026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764F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 / 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7B2DCA3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identificazione. Teorema di Stone + argomento di forcing Assioma B.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C711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6EB2C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C08488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C64E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CD030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del grupo de fase (U(1)). Teorema matemático.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9D8BF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B33A1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4BC403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A922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DA36B4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 Maxwell. Acción local invariante de calibración dim-4 única.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157AA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B3CBD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935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AB77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250B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entrelazamiento-conexión. Teorema 4.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23CDA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A51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FE061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A5D3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BB265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Era KS-47(AP18). Topología dipolar. Poincaré–Hopf.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5E320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56620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DA6D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13D9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349911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Puente AQFT (bifurcación). Sewell 1982.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8502E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7080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F3B0C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5D6214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C884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Era KS-49(AP23). Variabili nascoste. Bell + Assioma 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197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59241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DE12065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DD20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AD85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Ecuación de campo de tensión desde {S,B,R,C}. Rosin V7.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7F106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494D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F9074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A4B1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94BFA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Derivación del acoplamiento quiral. Sin explicación desde 1956. Marzo 2026.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2C90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5516E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73725BA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F99EF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F8552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Derivación de la regla de Born. Condicionada por KSQ.7.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8AA5734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COND. </w:t>
            </w:r>
          </w:p>
          <w:p w14:paraId="59E037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BD88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C3CF47" w14:textId="77777777">
        <w:trPr>
          <w:trHeight w:val="5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29AF1B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DD008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del operador (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 Prova di antilinearità presentata.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70ED89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AFFRONTATO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3BDA0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EF3C323" w14:textId="77777777" w:rsidR="009F258A" w:rsidRDefault="006E65B7">
      <w:pPr>
        <w:spacing w:after="0"/>
        <w:jc w:val="both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  <w:r>
        <w:br w:type="page"/>
      </w:r>
    </w:p>
    <w:p w14:paraId="689208BA" w14:textId="77777777" w:rsidR="009F258A" w:rsidRDefault="006E65B7">
      <w:pPr>
        <w:pStyle w:val="Heading1"/>
        <w:spacing w:after="234"/>
      </w:pPr>
      <w:r>
        <w:rPr>
          <w:sz w:val="40"/>
        </w:rPr>
        <w:lastRenderedPageBreak/>
        <w:t>Il Registro</w:t>
      </w:r>
      <w:r>
        <w:rPr>
          <w:b w:val="0"/>
          <w:sz w:val="40"/>
        </w:rPr>
        <w:t xml:space="preserve"> </w:t>
      </w:r>
    </w:p>
    <w:p w14:paraId="4565C0E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BA5547F" w14:textId="77777777" w:rsidR="009F258A" w:rsidRDefault="006E65B7">
      <w:pPr>
        <w:pStyle w:val="Heading2"/>
        <w:ind w:left="-5"/>
      </w:pPr>
      <w:r>
        <w:t>AP01 — Lo Stato di Attualizzazione</w:t>
      </w:r>
      <w:r>
        <w:rPr>
          <w:b w:val="0"/>
          <w:sz w:val="22"/>
        </w:rPr>
        <w:t xml:space="preserve"> </w:t>
      </w:r>
    </w:p>
    <w:p w14:paraId="40A78765" w14:textId="77777777" w:rsidR="009F258A" w:rsidRDefault="006E65B7">
      <w:pPr>
        <w:spacing w:after="248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24 kill switches. KS-V.1 è il kill switch globale. Rinumerato da KS-50–73 a KS-V.1–V.24 secondo raccomandazione v3.0. </w:t>
      </w:r>
    </w:p>
    <w:p w14:paraId="7601FFE3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5C28B45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Parte A — Stato di Attualizzazione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8A94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365AD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C9AC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9EE5D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7625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28399BE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A7547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D01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Invariancia operacional de AS (F0). KILL SWITCH GLOBAL.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7A20F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B4F45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395BC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841FA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DADF8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6343D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Selección de base de puntero (F1).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D2711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EDB98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985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CA492F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C00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03ED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de Born (F2).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C738C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4D9F9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810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91E63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A7B3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A4BD6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Dependencia del contexto (F3).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03E6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BB539D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79A3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B393A73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0D842B4B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Parte B — Selezione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4C378B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7D83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43392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ACB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B27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650433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A0E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01489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La tasa de selección excede el límite gravitacional (G1).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4AFAE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487A0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168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02EA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30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D6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Selección en régimen gravitacionalmente degenerado (G2).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944D7F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E6DC9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E158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57F62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E3C3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DD2BE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Escalado de tasa no gravitacional (G3).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EB29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DB5E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70ED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603F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8AFB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DB71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Selección pre-irreversibilidad (B2).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AFD88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E11F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1C5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06F37D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75BEA9FE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Parte C — Agentività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7C9C8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E8C62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lastRenderedPageBreak/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AAF3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907F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684D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2234E2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D49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58BD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Aumento de agencia sin control (FC1).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5FDDD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2CD7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7E0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78E8A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7ACC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1B4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Pérdida irreversible revertida (FC2).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96626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F4A86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0673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007F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57E4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0EC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Control estable más allá de la superficie de no retorno (FC3).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D60D1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1C0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DCAE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22F82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DEA5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76D1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Almuerzo gratis (FC4).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617CF1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5031A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26BC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7BBB66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89695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3FA1AB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Resurrección (FC5).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0CAA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6CA7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B721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1D1236E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3F48F1AD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Parte D — Viabilità Accoppiata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765288C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6C54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30436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83A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7D091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BCA5CC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D170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D7CE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de persistencia multiagente (FD0).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17197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637E8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BF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4D0C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56D8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BE55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Sin supervivencia gratuita (FD1).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F2D0F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D468C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90EF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ADD5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EA3E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7DCE9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Aditividad bajo acoplamiento (FD2.1).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6C2A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DB335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66A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EE878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9C9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C72E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Eficiencia independiente de impedancia (FD2.2).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4D8B4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7E40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D9C1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FC4B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D17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2AFD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Optimalidad anti-resonante (FD2.3).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51861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F9146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4278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2CD7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FAD7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E2C7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propagación en cascada (FD3.3).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C1B2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959BBA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8090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F59DBF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301A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7A5D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Orden indistinguible del ruido (FD4).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58DE2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C507A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86E0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DB279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59B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C5D4E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Violadores persistentes (FD4.2).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39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D54EB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7DB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B389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AB1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B57B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Inversión de jerarquía (FD4.3).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5B85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20ED6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4F3B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EA92F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2B52DF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KS-V.23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0B2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existencia de cooperación (FD4.4a).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4B8B4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CFE88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C2B6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FDF3E3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D15AB3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355EC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Salida de disuasión (FD4.4b).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4D2907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52BD2E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45B35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A8218C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BFDE89B" w14:textId="77777777" w:rsidR="009F258A" w:rsidRDefault="006E65B7">
      <w:pPr>
        <w:pStyle w:val="Heading2"/>
        <w:ind w:left="-5"/>
      </w:pPr>
      <w:r>
        <w:t>AP02 — L’Operatore</w:t>
      </w:r>
      <w:r>
        <w:rPr>
          <w:b w:val="0"/>
          <w:sz w:val="22"/>
        </w:rPr>
        <w:t xml:space="preserve"> </w:t>
      </w:r>
    </w:p>
    <w:p w14:paraId="46D1596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Rinumerato in KS-O.1–O.3.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E680A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5E94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6AA6C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C20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D4B3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A37961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E222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878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Dualidad deriva-disciplina.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3E91CE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A6C55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E4B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DBF4FB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865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67E31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Horizonte de capacidad.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80F3E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B1AB8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32FA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549D4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F6116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A698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Optimalidad de salida.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245B5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1D084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6D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5230D6F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CC6FE04" w14:textId="77777777" w:rsidR="009F258A" w:rsidRDefault="006E65B7">
      <w:pPr>
        <w:pStyle w:val="Heading2"/>
        <w:ind w:left="-5"/>
      </w:pPr>
      <w:r>
        <w:t>AP03 — Il Rapporto</w:t>
      </w:r>
      <w:r>
        <w:rPr>
          <w:b w:val="0"/>
          <w:sz w:val="22"/>
        </w:rPr>
        <w:t xml:space="preserve"> </w:t>
      </w:r>
    </w:p>
    <w:p w14:paraId="690BBD1C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515600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62DD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5D1803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2F6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5EC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8838EEC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1234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7E90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Variabilidad independiente de acoplamientos adimensionales.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84F2C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E6226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5FE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A64CA0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A0EAB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FCFAD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Origen no binario. El universo requiere &gt;2 sectores fundamentales.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3374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9FFEA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9DFD1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DE58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A64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889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Independencia de ratio oscuro.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AB7C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9DAA6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2C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C6221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E2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D6B0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Inequivalencia de horizonte.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480A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C69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38E1B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17CE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CDF0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Discrepancia a escala de Planck.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13D04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D290B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B2F0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9217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38C5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363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Violación de escalado. c/G </w:t>
            </w:r>
            <w:r>
              <w:rPr>
                <w:noProof/>
              </w:rPr>
              <w:drawing>
                <wp:inline distT="0" distB="0" distL="0" distR="0" wp14:anchorId="20013582" wp14:editId="696E7518">
                  <wp:extent cx="76200" cy="64008"/>
                  <wp:effectExtent l="0" t="0" r="0" b="0"/>
                  <wp:docPr id="99691" name="Picture 9969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91" name="Picture 9969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64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² conjeturado.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472F4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EE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760BAE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BAADB32" w14:textId="77777777" w:rsidR="009F258A" w:rsidRDefault="006E65B7">
      <w:pPr>
        <w:pStyle w:val="Heading2"/>
        <w:ind w:left="-5"/>
      </w:pPr>
      <w:r>
        <w:lastRenderedPageBreak/>
        <w:t>AP04 — L’Ipotesi del Loop</w:t>
      </w:r>
      <w:r>
        <w:rPr>
          <w:b w:val="0"/>
          <w:sz w:val="22"/>
        </w:rPr>
        <w:t xml:space="preserve"> </w:t>
      </w:r>
    </w:p>
    <w:p w14:paraId="34A7BD7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2C2C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1D6AA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9282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9A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BE73B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7A4DF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69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9338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Identidad estructural refutada. Sin BH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Mapeo FRW.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DBA38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1E74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DD63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0F0B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447B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Sin resolución de singularidad. Singularidad terminal sin extensión.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34A20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3845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411C2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CFFB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649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Pérdida de información. Evaporación BH fundamentalmente no unitaria.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45B8A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AE8AF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23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841CE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E297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E783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Desintegración del protón observada.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27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5F718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73B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A272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55B5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1B9CC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GSL violado. ΔS_gen &lt; 0 demostrado.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598E8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4BC9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7C1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756CDB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140A8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E6172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Actualización sin conciencia. GRW confirmado.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11CDC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1117E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2827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E7BD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5DDDB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B371A6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Fermiones innecesarios. Solo bosónico reproduce identidad.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BFD5B9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1B00F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4EEAC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C2A5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8CA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Anisotropía irreconciliable. Obstáculo más agudo.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6C1F3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F53B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7822D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555D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CA7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Discrepancia del CMB.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·h no puede reproducir P_</w:t>
            </w:r>
            <w:r>
              <w:rPr>
                <w:rFonts w:ascii="Cambria Math" w:eastAsia="Cambria Math" w:hAnsi="Cambria Math" w:cs="Cambria Math"/>
                <w:sz w:val="19"/>
              </w:rPr>
              <w:t>ℛ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(k).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E4F7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403AF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6F5E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816A7CA" w14:textId="77777777" w:rsidR="009F258A" w:rsidRDefault="006E65B7">
      <w:pPr>
        <w:spacing w:after="279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82FB264" w14:textId="77777777" w:rsidR="009F258A" w:rsidRDefault="006E65B7">
      <w:pPr>
        <w:pStyle w:val="Heading2"/>
        <w:ind w:left="-5"/>
      </w:pPr>
      <w:r>
        <w:t xml:space="preserve">AP05 — La Rottura (Assioma </w:t>
      </w:r>
      <w:r>
        <w:rPr>
          <w:rFonts w:ascii="Times New Roman" w:eastAsia="Times New Roman" w:hAnsi="Times New Roman" w:cs="Times New Roman"/>
        </w:rPr>
        <w:t>→</w:t>
      </w:r>
      <w:r>
        <w:t xml:space="preserve"> Estructura)</w:t>
      </w:r>
      <w:r>
        <w:rPr>
          <w:b w:val="0"/>
          <w:sz w:val="22"/>
        </w:rPr>
        <w:t xml:space="preserve"> </w:t>
      </w:r>
    </w:p>
    <w:p w14:paraId="08DBA78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1321A5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5DF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4816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989CF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D8AB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D4FB3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97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B295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Universal: especificaciones independientes.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E488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D08A7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18980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C756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5409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Rebote superior.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F2D7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64702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246A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5308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8D71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58771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Discrepancia espectral (escalonada). Pendiente BJP.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DCF5F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3D59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GRADUALE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D6DC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99D0399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2B3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KS-B.3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12CF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Sin solución de unión. Prueba más aguda.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9773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3E5D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688B3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9FFC8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FA832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Ruptura de cadena. Suposición no declarada en B0–B-6.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633B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EAE53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156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74BB72F" w14:textId="77777777" w:rsidR="009F258A" w:rsidRDefault="006E65B7">
      <w:pPr>
        <w:pStyle w:val="Heading2"/>
        <w:ind w:left="-5"/>
      </w:pPr>
      <w:r>
        <w:t>AP06 — La Costante di Perdita</w:t>
      </w:r>
      <w:r>
        <w:rPr>
          <w:b w:val="0"/>
          <w:sz w:val="22"/>
        </w:rPr>
        <w:t xml:space="preserve"> </w:t>
      </w:r>
    </w:p>
    <w:p w14:paraId="1EBF47C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chiuso.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16"/>
        <w:gridCol w:w="3493"/>
        <w:gridCol w:w="1371"/>
        <w:gridCol w:w="1320"/>
      </w:tblGrid>
      <w:tr w:rsidR="009F258A" w14:paraId="696370C3" w14:textId="77777777">
        <w:trPr>
          <w:trHeight w:val="347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31CF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0EB6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BA09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19DDE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8D0FE7" w14:textId="77777777">
        <w:trPr>
          <w:trHeight w:val="616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E9D45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84C05C" w14:textId="77777777" w:rsidR="009F258A" w:rsidRDefault="006E65B7">
            <w:pPr>
              <w:spacing w:after="0"/>
              <w:ind w:right="3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Absorbedor perfecto. </w:t>
            </w:r>
            <w:r>
              <w:rPr>
                <w:rFonts w:ascii="Cambria" w:eastAsia="Cambria" w:hAnsi="Cambria" w:cs="Cambria"/>
                <w:sz w:val="19"/>
              </w:rPr>
              <w:t>η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0 con c finito y acoplamiento.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D47BB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099E8E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89ABB6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26DD2C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A7DF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51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Fallo de suficiencia dentro de la clase AP06.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D91F0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188F3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05089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E4B862" w14:textId="77777777">
        <w:trPr>
          <w:trHeight w:val="595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FFB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475B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 epsilon. Cae si KS-1 o KS-2 se dispara.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8CEFC0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6D65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73508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5F421D" w14:textId="77777777">
        <w:trPr>
          <w:trHeight w:val="358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A827F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B506ACB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1/137. L’unico parametro misurato.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271D9E27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648FEA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A57390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7811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405F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Sin parametrización estructural compartida. No portante.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D5B9C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900507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1C4C3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B5688D3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4F26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97804B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 independiente de c. No portante.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59595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AC614D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1922BD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A1737A" w14:textId="77777777">
        <w:trPr>
          <w:trHeight w:val="312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1CBCA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177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Ipotesi di Immersione (EH).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AF92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F8FB1B7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AD7D96C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BCF6B9" w14:textId="77777777" w:rsidR="009F258A" w:rsidRDefault="006E65B7">
      <w:pPr>
        <w:pStyle w:val="Heading2"/>
        <w:ind w:left="-5"/>
      </w:pPr>
      <w:r>
        <w:t>AP07 — Ampiezze Complesse</w:t>
      </w:r>
      <w:r>
        <w:rPr>
          <w:b w:val="0"/>
          <w:sz w:val="22"/>
        </w:rPr>
        <w:t xml:space="preserve"> </w:t>
      </w:r>
    </w:p>
    <w:p w14:paraId="6D52060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971AC6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BE06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1B5CA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BD537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371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CD9DF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EE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4CA4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Registro duradero no electromagnético.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47845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DAD1F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A50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A131A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32844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A1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Criterio de registro configurable demasiado restrictivo.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27135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1E4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7CEEB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F9C8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331A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banda no restrictiva.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14088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782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95D43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DE50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C8C1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Jerarquía fuera de registro.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C8E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6DEC5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581E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82631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FBD8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A193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 Assioma 4 falsificato (ereditato).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B14FE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65274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D60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020B443" w14:textId="77777777" w:rsidR="009F258A" w:rsidRDefault="006E65B7">
      <w:pPr>
        <w:pStyle w:val="Heading2"/>
        <w:ind w:left="-5"/>
      </w:pPr>
      <w:r>
        <w:t>AP08 — L’Identità (Equazioni di Campo di Einstein)</w:t>
      </w:r>
      <w:r>
        <w:rPr>
          <w:b w:val="0"/>
          <w:sz w:val="22"/>
        </w:rPr>
        <w:t xml:space="preserve"> </w:t>
      </w:r>
    </w:p>
    <w:p w14:paraId="11B043B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chiuso.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33"/>
        <w:gridCol w:w="3527"/>
        <w:gridCol w:w="1345"/>
        <w:gridCol w:w="1295"/>
      </w:tblGrid>
      <w:tr w:rsidR="009F258A" w14:paraId="77DCE133" w14:textId="77777777">
        <w:trPr>
          <w:trHeight w:val="347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166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585D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4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709C8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5744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14E6D6D" w14:textId="77777777">
        <w:trPr>
          <w:trHeight w:val="616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B86B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FFC3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Cadena axioma-a-Poisson.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09FD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4C40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7364D2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C8E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11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Cadena de Lovelock.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30393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5CDC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E3822B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EFB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F878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 coeficientes.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2F4C3A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8C1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D38BA0C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0586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146F15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κ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inaccessibilità strutturale.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65072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78FA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26B11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44622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AAF3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Identidad curvatura-registro.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64A3368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7A2F2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F104BC" w14:textId="77777777">
        <w:trPr>
          <w:trHeight w:val="335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6422B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37EC8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E7FC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BD79E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70F1E3" w14:textId="77777777">
        <w:trPr>
          <w:trHeight w:val="618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4F7E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5A1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Constante cosmológica.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1EC25B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1303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6F2807" w14:textId="77777777">
        <w:trPr>
          <w:trHeight w:val="570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AFC7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316F8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Axioma R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ponte di conservazione della sorgente.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D913A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77B6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45F76A0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D56A90B" w14:textId="77777777" w:rsidR="009F258A" w:rsidRDefault="009F258A">
      <w:pPr>
        <w:sectPr w:rsidR="009F258A">
          <w:headerReference w:type="even" r:id="rId7"/>
          <w:headerReference w:type="default" r:id="rId8"/>
          <w:headerReference w:type="first" r:id="rId9"/>
          <w:pgSz w:w="10080" w:h="14400"/>
          <w:pgMar w:top="1439" w:right="1529" w:bottom="1494" w:left="1440" w:header="720" w:footer="720" w:gutter="0"/>
          <w:cols w:space="720"/>
        </w:sectPr>
      </w:pPr>
    </w:p>
    <w:p w14:paraId="00A011CC" w14:textId="77777777" w:rsidR="009F258A" w:rsidRDefault="006E65B7">
      <w:pPr>
        <w:pStyle w:val="Heading2"/>
        <w:tabs>
          <w:tab w:val="center" w:pos="3288"/>
        </w:tabs>
        <w:ind w:left="-15" w:firstLine="0"/>
      </w:pPr>
      <w:r>
        <w:t xml:space="preserve">AP09 </w:t>
        <w:tab/>
        <w:t>La Rottura (Meccanica Quantistica)</w:t>
      </w:r>
      <w:r>
        <w:rPr>
          <w:b w:val="0"/>
          <w:sz w:val="22"/>
        </w:rPr>
        <w:t xml:space="preserve"> </w:t>
      </w:r>
    </w:p>
    <w:p w14:paraId="17D769E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10 kill switches. 2 chiusi. 1 condizionalmente chiuso.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38" w:type="dxa"/>
        </w:tblCellMar>
        <w:tblLook w:val="04A0" w:firstRow="1" w:lastRow="0" w:firstColumn="1" w:lastColumn="0" w:noHBand="0" w:noVBand="1"/>
      </w:tblPr>
      <w:tblGrid>
        <w:gridCol w:w="1037"/>
        <w:gridCol w:w="3515"/>
        <w:gridCol w:w="1376"/>
        <w:gridCol w:w="1272"/>
      </w:tblGrid>
      <w:tr w:rsidR="009F258A" w14:paraId="42FA2CCB" w14:textId="77777777">
        <w:trPr>
          <w:trHeight w:val="347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E0645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9852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BAE8D3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26B8C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055DA1B" w14:textId="77777777">
        <w:trPr>
          <w:trHeight w:val="593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29552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5800C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Derivación de la regla de Born. Condicionada por KS-Q.7.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C6A9D6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COND. </w:t>
            </w:r>
          </w:p>
          <w:p w14:paraId="4124408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6CCF8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421477" w14:textId="77777777">
        <w:trPr>
          <w:trHeight w:val="616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9CF23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3CD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Regla de Born empíricamente.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4DAE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07DBC7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B3C2B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225DB6" w14:textId="77777777">
        <w:trPr>
          <w:trHeight w:val="593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7EA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819A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señalización (entrelazamiento).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FE0E9" w14:textId="77777777" w:rsidR="009F258A" w:rsidRDefault="006E65B7">
            <w:pPr>
              <w:spacing w:after="1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634130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CAB8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C350C7E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71D2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AFF6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compleja.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1E69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1874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B54DD5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2D2F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84C1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 bucle (física).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FE6B9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7146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F273ED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A77C2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F789420" w14:textId="77777777" w:rsidR="009F258A" w:rsidRDefault="006E65B7">
            <w:pPr>
              <w:spacing w:after="0"/>
              <w:ind w:left="1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coniugazione complessa.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FD77A2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876CF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4F2F05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562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1BE5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Construcción del puente del espacio de Hilbert.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2444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7367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179BF84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1CBAD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DBF99CC" w14:textId="77777777" w:rsidR="009F258A" w:rsidRDefault="006E65B7">
            <w:pPr>
              <w:spacing w:after="0"/>
              <w:ind w:left="1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identificazione.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7C0A0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3990C4E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B63CF1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4E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1F0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Exclusión de desfragmentación.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A739D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633A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580320" w14:textId="77777777">
        <w:trPr>
          <w:trHeight w:val="335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4CC2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DF65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Fundamentación ontológica pre-estado.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504F0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F54B5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E7CB72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8ADC15" w14:textId="77777777" w:rsidR="009F258A" w:rsidRDefault="006E65B7">
      <w:pPr>
        <w:pStyle w:val="Heading2"/>
        <w:ind w:left="-5"/>
      </w:pPr>
      <w:r>
        <w:t>AP10 — La Dimensione</w:t>
      </w:r>
      <w:r>
        <w:rPr>
          <w:b w:val="0"/>
          <w:sz w:val="22"/>
        </w:rPr>
        <w:t xml:space="preserve"> </w:t>
      </w:r>
    </w:p>
    <w:p w14:paraId="272A031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3 chiusi.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7B66A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C4A3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FC251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CC34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A33D4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F68690B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1CF7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544D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 dimensiones espaciales.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D1BE8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2BFB3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2644A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92A2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KS-15/D.2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B601C3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 asignación axioma-a-dimensión.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126A9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32EEC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DB816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9245B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2E212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Quinto axioma / completitud de {S,B,R,C}.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5F801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66968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7D78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FFD9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4EC7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Conteo de seis caras.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5494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DCF5BA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FC4D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6C587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6EC1A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F7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 axioma, una cara.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C0CD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A906AD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5FC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E8B8741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D0AC46" w14:textId="77777777" w:rsidR="009F258A" w:rsidRDefault="006E65B7">
      <w:pPr>
        <w:pStyle w:val="Heading2"/>
        <w:ind w:left="-5"/>
      </w:pPr>
      <w:r>
        <w:t>AP11 — Lo Spin</w:t>
      </w:r>
      <w:r>
        <w:rPr>
          <w:b w:val="0"/>
          <w:sz w:val="22"/>
        </w:rPr>
        <w:t xml:space="preserve"> </w:t>
      </w:r>
    </w:p>
    <w:p w14:paraId="256D9CD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559E3B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27ED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D4126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1D3D0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FEA7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A2B39A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811A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13E44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ℤ₂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identificazione con π</w:t>
            </w:r>
            <w:r>
              <w:rPr>
                <w:rFonts w:ascii="Cambria Math" w:eastAsia="Cambria Math" w:hAnsi="Cambria Math" w:cs="Cambria Math"/>
                <w:sz w:val="19"/>
              </w:rPr>
              <w:t>₁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(SO(3)).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4E6C8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A554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0905C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D0F4C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4B94B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Selección de espín mínimo.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9423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A0B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269CB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9302F1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8B3F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Puente intercambio-involución.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1E48F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E22E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56CC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5EF66EC" w14:textId="77777777" w:rsidR="009F258A" w:rsidRDefault="006E65B7">
      <w:pPr>
        <w:pStyle w:val="Heading2"/>
        <w:ind w:left="-5"/>
      </w:pPr>
      <w:r>
        <w:t>AP12 — Il Limite</w:t>
      </w:r>
      <w:r>
        <w:rPr>
          <w:b w:val="0"/>
          <w:sz w:val="22"/>
        </w:rPr>
        <w:t xml:space="preserve"> </w:t>
      </w:r>
    </w:p>
    <w:p w14:paraId="1C4C363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1 chiuso.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616BE46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2C8A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65EE8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21235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5FAACA1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E25D69C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18E63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E9CC63A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identificazione (era KS-Q.8).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F6D89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839D8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E67CD3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A71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03061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Correcciones de conmutación.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B27BFE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EF96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1BF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5E45E9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4F7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7E143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Mandelstam-Tamm.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DBA6A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9943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1AE2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1715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AD09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490E8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Parámetro adimensional en </w:t>
            </w: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forcing.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BE496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1396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4EFE4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163D1E6" w14:textId="77777777" w:rsidR="009F258A" w:rsidRDefault="006E65B7">
      <w:pPr>
        <w:pStyle w:val="Heading2"/>
        <w:ind w:left="-5"/>
      </w:pPr>
      <w:r>
        <w:t>AP13 — Il Grano</w:t>
      </w:r>
      <w:r>
        <w:rPr>
          <w:b w:val="0"/>
          <w:sz w:val="22"/>
        </w:rPr>
        <w:t xml:space="preserve"> </w:t>
      </w:r>
    </w:p>
    <w:p w14:paraId="5D7836C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8673C2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D947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9AEA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31C66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412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59DE0B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7A80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95FA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Persistencia de coherencia anómala.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4FAC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B0522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78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C0720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C3AB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8F47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Destrucción de registro por borrador cuántico.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45E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CC7BD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BB4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AA550EF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E44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880D34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del sector cuántico.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370F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6736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31ECF1F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FFC9A20" w14:textId="77777777" w:rsidR="009F258A" w:rsidRDefault="006E65B7">
      <w:pPr>
        <w:pStyle w:val="Heading2"/>
        <w:tabs>
          <w:tab w:val="center" w:pos="2718"/>
        </w:tabs>
        <w:ind w:left="-15" w:firstLine="0"/>
      </w:pPr>
      <w:r>
        <w:t xml:space="preserve">AP14 </w:t>
        <w:tab/>
        <w:t>La Correzione (Fisica)</w:t>
      </w:r>
      <w:r>
        <w:rPr>
          <w:b w:val="0"/>
          <w:sz w:val="22"/>
        </w:rPr>
        <w:t xml:space="preserve"> </w:t>
      </w:r>
    </w:p>
    <w:p w14:paraId="38B18A8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C75B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E1B38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4AC53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CF5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F04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37316E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8A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2777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Correcciones de conmutación a escala de Planck.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1F3A3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10A3B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636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479F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42D2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8D45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Finitud amplitud/coeficiente a un bucle.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A87D0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BD253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C754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C6790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F7E7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9994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Combinatoria de monoide a un bucle.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A018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8A40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CE826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1CBA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2CE2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Finitud a bucles superiores.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696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9C156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2DB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56D81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5096FE3" w14:textId="77777777" w:rsidR="009F258A" w:rsidRDefault="006E65B7">
      <w:pPr>
        <w:pStyle w:val="Heading2"/>
        <w:ind w:left="-5"/>
      </w:pPr>
      <w:r>
        <w:t>AP15 — La Connessione</w:t>
      </w:r>
      <w:r>
        <w:rPr>
          <w:b w:val="0"/>
          <w:sz w:val="22"/>
        </w:rPr>
        <w:t xml:space="preserve"> </w:t>
      </w:r>
    </w:p>
    <w:p w14:paraId="5615FE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3 chiusi.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E4BAF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4D166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05D67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A4EB8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90E8D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2923DD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89E5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C75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del grupo de fase (U(1)).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BB1DB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13B97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09020D5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351D7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5D3EA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 Maxwell.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DC59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F677F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6D2EE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44879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7C2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Globalidad de fase.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45EF18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965BDD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F3182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D91CDF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AE5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715BE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entrelazamiento-conexión.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83CBC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1990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2A18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359C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FB7822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 (continua).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E0858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36F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0FC3C0C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7985713" w14:textId="77777777" w:rsidR="009F258A" w:rsidRDefault="006E65B7">
      <w:pPr>
        <w:pStyle w:val="Heading2"/>
        <w:ind w:left="-5"/>
      </w:pPr>
      <w:r>
        <w:t>AP16 — La Rottura (Elettrodebole)</w:t>
      </w:r>
      <w:r>
        <w:rPr>
          <w:b w:val="0"/>
          <w:sz w:val="22"/>
        </w:rPr>
        <w:t xml:space="preserve"> </w:t>
      </w:r>
    </w:p>
    <w:p w14:paraId="6A514F0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3A6E75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5121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EE5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2B83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A6A8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4A67CD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04C2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68B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Meccanismo di rottura elettrodebole.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44A55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688FE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A428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8835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1163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14ED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Distinción de sector = isospín débil.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3C73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65EFB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D89C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FF6E1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476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54A6A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No derivabilidad de </w:t>
            </w: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_em. Innesco = trionfo.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B413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50E8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F1A6C2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1303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6BB9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(continua).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369A5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CCE9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3B47B2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DE620D3" w14:textId="77777777" w:rsidR="009F258A" w:rsidRDefault="006E65B7">
      <w:pPr>
        <w:pStyle w:val="Heading2"/>
        <w:ind w:left="-5"/>
      </w:pPr>
      <w:r>
        <w:t>AP17 — La Stanza</w:t>
      </w:r>
      <w:r>
        <w:rPr>
          <w:b w:val="0"/>
          <w:sz w:val="22"/>
        </w:rPr>
        <w:t xml:space="preserve"> </w:t>
      </w:r>
    </w:p>
    <w:p w14:paraId="7086105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chiuso (v3.0).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81"/>
        <w:gridCol w:w="3720"/>
        <w:gridCol w:w="1395"/>
        <w:gridCol w:w="1004"/>
      </w:tblGrid>
      <w:tr w:rsidR="009F258A" w14:paraId="56E2FD21" w14:textId="77777777">
        <w:trPr>
          <w:trHeight w:val="347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22D198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39B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4CDF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004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33B6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B849C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15B2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7F1DEC" w14:textId="77777777" w:rsidR="009F258A" w:rsidRDefault="006E65B7">
            <w:pPr>
              <w:spacing w:after="0"/>
              <w:ind w:left="1" w:right="45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Aceleración isotrópica (elevada DURO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EMPIRICO).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ABB41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5278E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9933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8420EE" w14:textId="77777777">
        <w:trPr>
          <w:trHeight w:val="593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FB2D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D8B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valor numérico. ~8% residual.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E5ECCE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CBA88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0C00B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07F92F" w14:textId="77777777">
        <w:trPr>
          <w:trHeight w:val="595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F029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87E5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Dinámica de cúmulos.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885606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258E88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CDC9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8EE1D97" w14:textId="77777777">
        <w:trPr>
          <w:trHeight w:val="593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FEF2F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5FE40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Formazione di struttura. Test più duro.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60BC97D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D3D7A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A8DB1E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2133FE" w14:textId="77777777">
        <w:trPr>
          <w:trHeight w:val="335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F218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FA971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Ecuación de campo de tensión desde {S,B,R,C}.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265AF2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1FDD6AB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V7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1156D4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D450E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302E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Función de interpolación.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80E8A8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56A61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3D91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A1C70A" w14:textId="77777777">
        <w:trPr>
          <w:trHeight w:val="571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3CB5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099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Galaxias sin anclaje central.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8631155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B9CD9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4636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C5D9856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DA9DC94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0029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F03930" w14:textId="77777777" w:rsidR="009F258A" w:rsidRDefault="006E65B7">
      <w:pPr>
        <w:pStyle w:val="Heading2"/>
        <w:tabs>
          <w:tab w:val="center" w:pos="1708"/>
        </w:tabs>
        <w:ind w:left="-15" w:firstLine="0"/>
      </w:pPr>
      <w:r>
        <w:t xml:space="preserve">AP18 </w:t>
        <w:tab/>
        <w:t>Il Pavimento</w:t>
      </w:r>
      <w:r>
        <w:rPr>
          <w:b w:val="0"/>
          <w:sz w:val="22"/>
        </w:rPr>
        <w:t xml:space="preserve"> </w:t>
      </w:r>
    </w:p>
    <w:p w14:paraId="57CEDAA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1 chiuso. Precedenti KS-46/47 rinumerati in KS-45.1/45.2 per risolvere la collisione con AP22.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0D619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A707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E889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E1BC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03FB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47191EB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0AB957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192EA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factor geométrico 2π.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B4C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FB56E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49E8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0A95A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3F7AB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F71B00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Predicción de Hubble. H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≈ 73.8.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377A1CE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2B4DF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4FE97A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650479" w14:textId="77777777">
        <w:trPr>
          <w:trHeight w:val="31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1C94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3778C4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Topología dipolar. Poincaré–Hopf.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4DD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1A21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6965D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747371" w14:textId="77777777" w:rsidR="009F258A" w:rsidRDefault="006E65B7">
      <w:pPr>
        <w:pStyle w:val="Heading2"/>
        <w:ind w:left="-5"/>
      </w:pPr>
      <w:r>
        <w:t>AP19 — La Direzione</w:t>
      </w:r>
      <w:r>
        <w:rPr>
          <w:b w:val="0"/>
          <w:sz w:val="22"/>
        </w:rPr>
        <w:t xml:space="preserve"> </w:t>
      </w:r>
    </w:p>
    <w:p w14:paraId="0F7DB8C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Precedenti KS-48/49 rinumerati in KS-48c/49b per risolvere la collisione con AP23.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BF9258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52768F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293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00A3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932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B11640D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2C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4BB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Orientación = color.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790DD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A1486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8B4C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5A6B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381A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A509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Confinamiento desde isotropía.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282E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1F4A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BBD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7839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EDC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45D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SU(3) desde no derivabilidad.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90201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2B4A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40F38A1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6FC41FE" w14:textId="77777777" w:rsidR="009F258A" w:rsidRDefault="006E65B7">
      <w:pPr>
        <w:pStyle w:val="Heading2"/>
        <w:ind w:left="-5"/>
      </w:pPr>
      <w:r>
        <w:t>AP20 — La Prova</w:t>
      </w:r>
      <w:r>
        <w:rPr>
          <w:b w:val="0"/>
          <w:sz w:val="22"/>
        </w:rPr>
        <w:t xml:space="preserve"> </w:t>
      </w:r>
    </w:p>
    <w:p w14:paraId="567C8E6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2 chiusi.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53B0C8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36F08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5AC2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8FBEA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36CE3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14F2C3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CB199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449BB5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EH (Ipotesi di Immersione).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BA45F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BDF78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1A6140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B1EF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4067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Completezza della Parte 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D0049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4E47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D815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1CD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FF24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Minimalità della Parte 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8B45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CB3E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EFE41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C800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BFB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Definición de registro / argumento de forcing.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253B6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63BA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C1610C" w14:textId="77777777">
        <w:trPr>
          <w:trHeight w:val="312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0DE2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C979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QRA (Alineación Cuántica-Registro).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646CD7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544F6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2B4F4B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31D8EEF" w14:textId="77777777" w:rsidR="009F258A" w:rsidRDefault="006E65B7">
      <w:pPr>
        <w:pStyle w:val="Heading2"/>
        <w:ind w:left="-5"/>
      </w:pPr>
      <w:r>
        <w:t>AP21 — La Rete</w:t>
      </w:r>
      <w:r>
        <w:rPr>
          <w:b w:val="0"/>
          <w:sz w:val="22"/>
        </w:rPr>
        <w:t xml:space="preserve"> </w:t>
      </w:r>
    </w:p>
    <w:p w14:paraId="5001615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89CC3C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FFEA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C2A4F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13FE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117A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93F9B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E6D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996FA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Formazione di struttura (continua).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5C6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17939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AE06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B8C73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4BFC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0AF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Topología filamentaria.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F3046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BFCC9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B28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65A710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BF70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E8C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Secuencia de anclaje primordial.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1B1CE4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D43FD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6C50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8C6E6A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18C8132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4528CB" w14:textId="77777777" w:rsidR="009F258A" w:rsidRDefault="006E65B7">
      <w:pPr>
        <w:pStyle w:val="Heading2"/>
        <w:ind w:left="-5"/>
      </w:pPr>
      <w:r>
        <w:t>AP22 — Il Registro (Antimateria)</w:t>
      </w:r>
      <w:r>
        <w:rPr>
          <w:b w:val="0"/>
          <w:sz w:val="22"/>
        </w:rPr>
        <w:t xml:space="preserve"> </w:t>
      </w:r>
    </w:p>
    <w:p w14:paraId="463AAE1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1 chiuso. 1 affrontato.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AF4AC2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4367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492BFB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375EDA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4CEC29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BBD8A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77DBB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D7CA10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 frontera.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61399C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DERIVATO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7A3C4F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A4F17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734C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556D92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Puente AQFT.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FD55D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77F1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8007C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42D0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14B77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del operador (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73DEE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AFFRONTATO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7DE8C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F7777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B78D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C5CF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Número bariónico global. ~10 OOM de tensión.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B71A5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179C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3059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1E851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AF3F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72932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Productos de evaporación de Hawking.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8415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02C1D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8061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4E3FAC1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177138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35F202C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36225F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757DA88" w14:textId="77777777" w:rsidR="009F258A" w:rsidRDefault="006E65B7">
      <w:pPr>
        <w:pStyle w:val="Heading2"/>
        <w:tabs>
          <w:tab w:val="center" w:pos="2331"/>
        </w:tabs>
        <w:ind w:left="-15" w:firstLine="0"/>
      </w:pPr>
      <w:r>
        <w:t xml:space="preserve">AP23 </w:t>
        <w:tab/>
        <w:t>Il Registro Singolo</w:t>
      </w:r>
      <w:r>
        <w:rPr>
          <w:b w:val="0"/>
          <w:sz w:val="22"/>
        </w:rPr>
        <w:t xml:space="preserve"> </w:t>
      </w:r>
    </w:p>
    <w:p w14:paraId="0067972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1 chiuso. Precedente KS-49 rinumerato in KS-49a per risolvere la collisione con AP19.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858EC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11DB3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78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A899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0FA6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87BFF47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0C32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A833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Cronometraje de correlación.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5F1E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EAE86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7A57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8DF30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7FD13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E58F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señalización.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6BACCD1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F44EB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720D9E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1F100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3B0F7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71137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Variabili nascoste. Bell + Assioma 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86B7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3C1C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8999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0B6C4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8DA79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Colapso parcial.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B63CB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E8EB0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1A97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699D41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69FE60" w14:textId="77777777" w:rsidR="009F258A" w:rsidRDefault="006E65B7">
      <w:pPr>
        <w:pStyle w:val="Heading2"/>
        <w:ind w:left="-5"/>
      </w:pPr>
      <w:r>
        <w:t>AP24 — Il Residuo</w:t>
      </w:r>
      <w:r>
        <w:rPr>
          <w:b w:val="0"/>
          <w:sz w:val="22"/>
        </w:rPr>
        <w:t xml:space="preserve"> </w:t>
      </w:r>
    </w:p>
    <w:p w14:paraId="4B506D0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Non portante.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D3D47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74BD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97BF2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8D3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385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6D221E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8A8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AF28A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Multiplicidad de autoconsistencia.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B6F5F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FA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C0EA6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C2D0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B69B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Valor erróneo de autoconsistencia.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7D91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4030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04BC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EAAD4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7494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Variación independiente de constantes.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91F3C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E4186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FED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E676409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F75A934" w14:textId="77777777" w:rsidR="009F258A" w:rsidRDefault="006E65B7">
      <w:pPr>
        <w:pStyle w:val="Heading2"/>
        <w:ind w:left="-5"/>
      </w:pPr>
      <w:r>
        <w:t>AP25 — La Misura</w:t>
      </w:r>
      <w:r>
        <w:rPr>
          <w:b w:val="0"/>
          <w:sz w:val="22"/>
        </w:rPr>
        <w:t xml:space="preserve"> </w:t>
      </w:r>
    </w:p>
    <w:p w14:paraId="1FE8F40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F87400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E582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D4B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202A9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2B8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06D284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AF12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6B7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contextualidad de Gleason.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D808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CC700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7B76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0CC2E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AF8E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0CDC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Estadísticas no-Born.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72D0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FACB7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0446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05D601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9E7661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30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Actualización de estado mixto.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E9BAAB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9AB0B4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DCCF3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DEFD59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4E17A36" w14:textId="77777777" w:rsidR="009F258A" w:rsidRDefault="006E65B7">
      <w:pPr>
        <w:pStyle w:val="Heading2"/>
        <w:ind w:left="-5"/>
      </w:pPr>
      <w:r>
        <w:t>AP26 — Il Surplus</w:t>
      </w:r>
      <w:r>
        <w:rPr>
          <w:b w:val="0"/>
          <w:sz w:val="22"/>
        </w:rPr>
        <w:t xml:space="preserve"> </w:t>
      </w:r>
    </w:p>
    <w:p w14:paraId="391A559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1 debito aperto.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6D536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25251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1BFE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F6C5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150BA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3FDAA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2627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D2E8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Forma de excedente.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39D2D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9598D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CA8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32659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9199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BAE8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Protección topológica.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522A7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134A3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731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6518B04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F43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8E4D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Discrepancia de valor derivado. Hoja más afilada.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FA5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DEBITO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C1D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14ED91E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8EC245F" w14:textId="77777777" w:rsidR="009F258A" w:rsidRDefault="006E65B7">
      <w:pPr>
        <w:pStyle w:val="Heading2"/>
        <w:ind w:left="-5"/>
      </w:pPr>
      <w:r>
        <w:t>AP27 — Le Armoniche</w:t>
      </w:r>
      <w:r>
        <w:rPr>
          <w:b w:val="0"/>
          <w:sz w:val="22"/>
        </w:rPr>
        <w:t xml:space="preserve"> </w:t>
      </w:r>
    </w:p>
    <w:p w14:paraId="763C2D7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chiuso (v3.0). 3 debiti aperti.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462A64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AA4A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099EF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238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234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DF99D5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9221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24A2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Existencia del espacio de estados interno.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8B4D7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F26BEB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705F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BCC57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C1666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4509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Sobreconteo del grupo de calibración.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D75A24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4DE5DD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1C222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C03C7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7F06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CC496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Derivación del acoplamiento quiral.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DF0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CHIUSO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298F3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99CE98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9DCC2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52637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Confusión SU(2)_débil ≠ SU(2)_spin.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631C75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EB99E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2099B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3009A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978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9F56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Asignaciones de hipercarga.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C72E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DEBITO APERTO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4B98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E47D9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EEB7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F49C6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Generazioni.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20B1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DEBITO APERTO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3323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DBC4B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B329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4FDCA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AP15/AP27 consistencia EWSB.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D1A9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DEBITO APERTO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50B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9DD5081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A6634BC" w14:textId="77777777" w:rsidR="009F258A" w:rsidRDefault="006E65B7">
      <w:pPr>
        <w:pStyle w:val="Heading2"/>
        <w:tabs>
          <w:tab w:val="center" w:pos="2627"/>
        </w:tabs>
        <w:ind w:left="-15" w:firstLine="0"/>
      </w:pPr>
      <w:r>
        <w:t xml:space="preserve">AP28 </w:t>
        <w:tab/>
        <w:t>La Costante (Gravità)</w:t>
      </w:r>
      <w:r>
        <w:rPr>
          <w:b w:val="0"/>
          <w:sz w:val="22"/>
        </w:rPr>
        <w:t xml:space="preserve"> </w:t>
      </w:r>
    </w:p>
    <w:p w14:paraId="3E020243" w14:textId="77777777" w:rsidR="009F258A" w:rsidRDefault="006E65B7">
      <w:pPr>
        <w:spacing w:after="12"/>
      </w:pPr>
      <w:r>
        <w:rPr>
          <w:rFonts w:ascii="Atkinson Hyperlegible" w:eastAsia="Atkinson Hyperlegible" w:hAnsi="Atkinson Hyperlegible" w:cs="Atkinson Hyperlegible"/>
        </w:rPr>
        <w:t xml:space="preserve">8 kill switches. G = </w:t>
      </w:r>
      <w:r>
        <w:rPr>
          <w:rFonts w:ascii="Cambria" w:eastAsia="Cambria" w:hAnsi="Cambria" w:cs="Cambria"/>
        </w:rPr>
        <w:t>α</w:t>
      </w:r>
      <w:r>
        <w:rPr>
          <w:rFonts w:ascii="Atkinson Hyperlegible" w:eastAsia="Atkinson Hyperlegible" w:hAnsi="Atkinson Hyperlegible" w:cs="Atkinson Hyperlegible"/>
        </w:rPr>
        <w:t xml:space="preserve">_em²¹ × (1 + 1/π) × ħc/m_e². Discrepanza: 0,69%.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B1E81A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1DA8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E24A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E3E71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93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0354466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60C2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166D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Predicción de G. Debe concordar dentro del 1%.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6472A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28F8C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45C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EA4EF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8DE3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514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Conteo de canales (exponente 21).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D02DB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E77B75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0DB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F1135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8B2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6E409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de caras.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594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65E388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ABB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9BB95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0FC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6498C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Alcance de la actualización.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465DB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A870C2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91A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67EF9C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22A4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074D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Independencia de canales.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3FE9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500842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B70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7B561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5FF1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2FC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Acoplamiento uniforme.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DA4E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38BE2B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84AA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2CC40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A35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7EF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Geometría de punción (factor 1/π).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A16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96C79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8598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F3D389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682E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C46A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 de unificación.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41405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04E20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63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507151F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BC224BF" w14:textId="77777777" w:rsidR="009F258A" w:rsidRDefault="006E65B7">
      <w:pPr>
        <w:pStyle w:val="Heading2"/>
        <w:ind w:left="-5"/>
      </w:pPr>
      <w:r>
        <w:t>AP29 — La Prova di Attualizzazione</w:t>
      </w:r>
      <w:r>
        <w:rPr>
          <w:b w:val="0"/>
          <w:sz w:val="22"/>
        </w:rPr>
        <w:t xml:space="preserve"> </w:t>
      </w:r>
    </w:p>
    <w:p w14:paraId="42088F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065D4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6698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F598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EF22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16F9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702DC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90B6C6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3C08C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D0F6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Actualización como estado fundamental.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9AB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4A6F6C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61B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D6236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9865F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198D4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EDFEA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Coscienza come capacità dell’energia.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4FE07B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06399E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1467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B12B0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91EAE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1BAC1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34A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Big Bang come prima attualizzazione.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1691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279F2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C9D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5061D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028FC0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51BC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C3D3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Proporcionalidad de materia oscura (21:1).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3C09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E214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9A02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7358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EC725C4" w14:textId="77777777" w:rsidR="009F258A" w:rsidRDefault="006E65B7">
            <w:pPr>
              <w:spacing w:after="11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90098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6F317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Conservación de energía.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06D60BA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C8A172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8A80F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2A1C6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1EEFCC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3E228F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4B87D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Realismo estructural (RETROACTIVO).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A72EB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AB782EF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6F8F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27B07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8F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7B69D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996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Cadena de dependencia.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17520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DB2E6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4C5362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6AEFB7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A8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0D9082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EEF5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Reubicación del problema difícil.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58D1F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F7B49B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C6F32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F7B2370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20B3F01" w14:textId="77777777" w:rsidR="009F258A" w:rsidRDefault="006E65B7">
      <w:pPr>
        <w:pStyle w:val="Heading2"/>
        <w:ind w:left="-5"/>
      </w:pPr>
      <w:r>
        <w:t>AP30 — La Resistenza (Massa)</w:t>
      </w:r>
      <w:r>
        <w:rPr>
          <w:b w:val="0"/>
          <w:sz w:val="22"/>
        </w:rPr>
        <w:t xml:space="preserve"> </w:t>
      </w:r>
    </w:p>
    <w:p w14:paraId="247CCF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m_p/m_e a 5 ppb.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C209FB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311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158B7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93E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AF676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CDD6880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9B59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C3EF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Formalización de la aditividad.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DA9AE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C742E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69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3B217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FEE6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E9C4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Isotropía de fuga.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23736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B0E42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0BC9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9FFD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F803F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600C2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Términos de orden superior.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317E7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3CE55C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A1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08F8F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D44843C" w14:textId="77777777" w:rsidR="009F258A" w:rsidRDefault="006E65B7">
      <w:pPr>
        <w:pStyle w:val="Heading2"/>
        <w:ind w:left="-5"/>
      </w:pPr>
      <w:r>
        <w:t>AP31 — L’Allineamento</w:t>
      </w:r>
      <w:r>
        <w:rPr>
          <w:b w:val="0"/>
          <w:sz w:val="22"/>
        </w:rPr>
        <w:t xml:space="preserve"> </w:t>
      </w:r>
    </w:p>
    <w:p w14:paraId="5891BD7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13 kill switches (9 principali + 4 Addendum B).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62BC99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EB6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745998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1F57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16B230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BB1E1F1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E17D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A845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Criterio di coscienza.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A2B6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A32956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AD3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FB4EB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35DD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F0BEE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-optimalidad.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5D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001B3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8AC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63357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07D7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D2621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binaria.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091D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FBEF83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65C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A39FF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6B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6FB9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Convergencia de registro.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1487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7E62D7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6AEA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0BCF36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3BB8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2B22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Ley-como-geometría.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E49FC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CD31B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C334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BD1CC66" w14:textId="77777777" w:rsidR="009F258A" w:rsidRDefault="009F258A">
      <w:pPr>
        <w:sectPr w:rsidR="009F258A">
          <w:headerReference w:type="even" r:id="rId10"/>
          <w:headerReference w:type="default" r:id="rId11"/>
          <w:headerReference w:type="first" r:id="rId12"/>
          <w:pgSz w:w="10080" w:h="14400"/>
          <w:pgMar w:top="1441" w:right="1516" w:bottom="1440" w:left="1440" w:header="720" w:footer="720" w:gutter="0"/>
          <w:cols w:space="720"/>
        </w:sectPr>
      </w:pP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98D7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9B17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E94C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Ventaja cuántica.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8AA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A2F84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EE8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A030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34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D349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Prueba civilizacional (MASTER).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A50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D4616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7B0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4F354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8130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2931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Automodificación.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6999D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54072E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84C3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3D4584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BB56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6E8F2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Registros adversariales.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B2A26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D0C1A5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5A35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5DC6BA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44CAE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CDED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Novedad de datos de entrenamiento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C9EBE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96CF7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60EF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642415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1BD4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BD5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Replicabilidad de contra-prueba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E857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B6DB7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2396F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4549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C8E7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6B1FEC" w14:textId="77777777" w:rsidR="009F258A" w:rsidRDefault="006E65B7">
            <w:pPr>
              <w:spacing w:after="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Suficiencia de coincidencia de patrones (Addendum </w:t>
            </w:r>
          </w:p>
          <w:p w14:paraId="0DB474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D5165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FC654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36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D7DAA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9EA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5C23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Circularidad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D4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680CA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5E3F9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4ECC0DD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9AFC9F6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7E39685" w14:textId="77777777" w:rsidR="009F258A" w:rsidRDefault="006E65B7">
      <w:pPr>
        <w:pStyle w:val="Heading2"/>
        <w:spacing w:after="0"/>
        <w:ind w:left="-5"/>
      </w:pPr>
      <w:r>
        <w:t>AP32 — La Correzione (Etica)</w:t>
      </w:r>
      <w:r>
        <w:rPr>
          <w:b w:val="0"/>
          <w:sz w:val="22"/>
        </w:rPr>
        <w:t xml:space="preserve"> </w:t>
      </w:r>
    </w:p>
    <w:p w14:paraId="41122FF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non negoziabile.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605559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C764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66BA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131E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38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DEE4F06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284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972C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Medición de desestabilización.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9F325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C5AA9A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ACC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ECBE6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5A40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728F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Clasificación de corrección.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EF002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7E62AA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FEB8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06E11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51AC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46C8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Justificación de eliminación.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7E6A1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8B9D35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ECC3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E44EF6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F625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EA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One-I.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F8623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EDDA5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F92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B0CA6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A027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267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Freno al genocidio.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EEC576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91A134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61D1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ABF7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513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12C4E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Superioridad de prevención.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7F35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EDFE19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DD6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E20053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3B8F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EEC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Deshumanización (KILL SWITCH MORAL).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7D584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NON</w:t>
            </w:r>
          </w:p>
          <w:p w14:paraId="4EB0F59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NEGOZIABILE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CB3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CAE0E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93332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C1850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Confianza inalcanzable.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BC4A21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18A7D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8ED61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322F0EE" w14:textId="77777777" w:rsidR="009F258A" w:rsidRDefault="006E65B7">
      <w:pPr>
        <w:pStyle w:val="Heading2"/>
        <w:ind w:left="-5"/>
      </w:pPr>
      <w:r>
        <w:t>AP33 — Il Confine</w:t>
      </w:r>
      <w:r>
        <w:rPr>
          <w:b w:val="0"/>
          <w:sz w:val="22"/>
        </w:rPr>
        <w:t xml:space="preserve"> </w:t>
      </w:r>
    </w:p>
    <w:p w14:paraId="1E81D3B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3 non negoziabili.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E5C709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A32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80064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D7D01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C25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F0C61E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58DA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DD06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Definición de agencia.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C187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F7F5D9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5C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90CA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5BE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3DFD4D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confine di giurisdizione.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B47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A59E2C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5ED0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453B2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773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AB7A7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Criterio de consentimiento.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FD2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AA9AE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8B26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D539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A61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7DC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Prioridad de agencia.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1B1AC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7DFFA9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9C93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34490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1B16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46A6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Cálculo de asignación.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5CB93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13ADFF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F67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3B3F6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E219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09CC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Calibración de piso fijo.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0497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D3B581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AFED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56EDC7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BFD3C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16F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Militarizzazione del potenziamento.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5A94D4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NON</w:t>
            </w:r>
          </w:p>
          <w:p w14:paraId="3B0681C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NEGOZIABILE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3AE4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97D03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ECCA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33B0F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Corrupción del presupuesto de continuación.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17B20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NON</w:t>
            </w:r>
          </w:p>
          <w:p w14:paraId="0D1615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NEGOZIABILE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338C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528FE0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1A74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3F8873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One-I.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67730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NON</w:t>
            </w:r>
          </w:p>
          <w:p w14:paraId="0BB5135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NEGOZIABILE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B48A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A592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AF146FC" w14:textId="77777777" w:rsidR="009F258A" w:rsidRDefault="006E65B7">
      <w:pPr>
        <w:pStyle w:val="Heading2"/>
        <w:ind w:left="-5"/>
      </w:pPr>
      <w:r>
        <w:t>AP34 — L’Inversione</w:t>
      </w:r>
      <w:r>
        <w:rPr>
          <w:b w:val="0"/>
          <w:sz w:val="22"/>
        </w:rPr>
        <w:t xml:space="preserve"> </w:t>
      </w:r>
    </w:p>
    <w:p w14:paraId="053D044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D935F8C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0D992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5E648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8B094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EF8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F0CB484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C54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47D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Datos de alcohol.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FC2EE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F9FCA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35E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993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762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6F18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Datos de cannabis.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A36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5BCA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001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B06C3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1449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1F23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Datos de psilocibina.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F651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4A31D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A2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4DA1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0333DB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8D2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Sistema endógeno.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77AFC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439FE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FD36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95B70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19A6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CD79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Classificazione delle droghe.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AA99F5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FE10D9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24B0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407B1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9BF6DE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5A5C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Desestabilización por legalización.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9290B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7C5B70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0B9AD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73341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E9EF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AE4FE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Justificación de inversión.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281B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B678A2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2AA11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2A33C4A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B4CB11C" w14:textId="77777777" w:rsidR="009F258A" w:rsidRDefault="006E65B7">
      <w:pPr>
        <w:pStyle w:val="Heading2"/>
        <w:ind w:left="-5"/>
      </w:pPr>
      <w:r>
        <w:t>AP35 — Il Registro (Economia)</w:t>
      </w:r>
      <w:r>
        <w:rPr>
          <w:b w:val="0"/>
          <w:sz w:val="22"/>
        </w:rPr>
        <w:t xml:space="preserve"> </w:t>
      </w:r>
    </w:p>
    <w:p w14:paraId="08334AE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2346E5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CE32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63E3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66A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6D205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C510224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B0C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B6A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Conservación.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42855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70169C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4348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B7CC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BDD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F750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Mecanismo de precios.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D449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69E659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AB7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CB69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00E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38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Persistencia de extracción.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81429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8E578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4B82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4BD74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9395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E88EB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Desbordamiento de búfer.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B8812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43FEA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251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A0CE9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8EFF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A1F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Invariancia de escala.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7801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AB89CF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6A57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7FB981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2363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BF7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Proporcionalidad de auditoría.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304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ED0E8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62AF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E1ACD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541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9F7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Anulación keynesiana.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D1A99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F63F6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EABA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56D6FB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230F9" w14:textId="77777777" w:rsidR="009F258A" w:rsidRDefault="006E65B7">
      <w:pPr>
        <w:pStyle w:val="Heading2"/>
        <w:ind w:left="-5"/>
      </w:pPr>
      <w:r>
        <w:t>AP36 — L’Alimentazione</w:t>
      </w:r>
      <w:r>
        <w:rPr>
          <w:b w:val="0"/>
          <w:sz w:val="22"/>
        </w:rPr>
        <w:t xml:space="preserve"> </w:t>
      </w:r>
    </w:p>
    <w:p w14:paraId="359DBFD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5E9614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D54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E09C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C994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75F16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4033E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4587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6A62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Conservación (química).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5F2CB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94476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7A41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3FFF1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1338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6E20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superficie.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6BC6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D061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962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007F3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2930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3C4BB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de umbral.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31652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00343F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5251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2575C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D3B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7A7B0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Autocatálisis.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FAA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5DFA3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81B5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DE05D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23A7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ED68F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Dependencia del gradiente.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E0A4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325A4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E07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4839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6927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F65D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Irreversibilidad de dependencia.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7DD26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FFE28D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709A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70F471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99C0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751E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Acumulación tóxica.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0DCA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C1EC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CC08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6B6076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E9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D99B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Captura de entrada.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499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829202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3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B43EC3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F9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88D3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Mecanismo de persistencia.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151B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FC7E53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B0B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AD8660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ACEF44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07F5C7B" w14:textId="77777777" w:rsidR="009F258A" w:rsidRDefault="006E65B7">
      <w:pPr>
        <w:pStyle w:val="Heading2"/>
        <w:spacing w:after="0"/>
        <w:ind w:left="-5"/>
      </w:pPr>
      <w:r>
        <w:t>AP37 — Il Primo Confine</w:t>
      </w:r>
      <w:r>
        <w:rPr>
          <w:b w:val="0"/>
          <w:sz w:val="22"/>
        </w:rPr>
        <w:t xml:space="preserve"> </w:t>
      </w:r>
    </w:p>
    <w:p w14:paraId="410BB6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3C8CD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55A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0CE7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82506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C0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15C33FA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8EEC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634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Impuesto entrópico.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9BC4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77850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B12E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B621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2D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C2C6C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corrección.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51234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DC22F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9F9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2B754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295F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49E5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Acoplamiento mente-cuerpo (placebo).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ED503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F2B71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0AD15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F2F5D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3F0A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7056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La sovranità richiede funzione.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AE2F9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B64E1C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3756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9583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DF0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951A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Síntoma como registro.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32A4F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3EF2D7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FD5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5A6B0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F1BB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50A7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Crescita sotto stress.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FBF3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AA773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789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4294B1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2C86C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036B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mantenimiento.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4D5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9FFC0B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1CB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21E482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44EFB2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505F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Fronteras del corredor.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00E3EF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D91B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94F1D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E483B45" w14:textId="77777777" w:rsidR="009F258A" w:rsidRDefault="006E65B7">
      <w:pPr>
        <w:pStyle w:val="Heading2"/>
        <w:ind w:left="-5"/>
      </w:pPr>
      <w:r>
        <w:t>AP38 — L’Uscita</w:t>
      </w:r>
      <w:r>
        <w:rPr>
          <w:b w:val="0"/>
          <w:sz w:val="22"/>
        </w:rPr>
        <w:t xml:space="preserve"> </w:t>
      </w:r>
    </w:p>
    <w:p w14:paraId="6416C36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non negoziabile.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F6517C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53DB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42152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5685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3E48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CE13F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F32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41B1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Fallimento della sovranità.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0A8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1B5F84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0389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05267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E1F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D568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Capacidad de modelado.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ADF7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4EE5E4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A42A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B58C4A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200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E88B2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Pendiente resbaladiza.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2F20C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80827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EBF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881F7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7C90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B7152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errónea post-agencia.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8FE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5A53C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057C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6515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2CD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73C0C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Suficiencia paliativa. Mejor caso: la necesidad desaparece.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B80C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6C4EA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978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A4192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06A6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34E73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Confusión de discapacidad.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96A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NON</w:t>
            </w:r>
          </w:p>
          <w:p w14:paraId="4722A76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NEGOZIABILE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7DF8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5D9E7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0658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2A610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Explotación pediátrica.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7C3DA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F98EDA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8E1B1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7814620" w14:textId="77777777">
        <w:trPr>
          <w:trHeight w:val="57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3941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398F7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Master. La morte non è uscita dell’operatore.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6A277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979BB7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1931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56BEFDF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8DE2B55" w14:textId="77777777" w:rsidR="009F258A" w:rsidRDefault="006E65B7">
      <w:pPr>
        <w:pStyle w:val="Heading2"/>
        <w:ind w:left="-5"/>
      </w:pPr>
      <w:r>
        <w:t>AP39 — L’Impalcatura</w:t>
      </w:r>
      <w:r>
        <w:rPr>
          <w:b w:val="0"/>
          <w:sz w:val="22"/>
        </w:rPr>
        <w:t xml:space="preserve"> </w:t>
      </w:r>
    </w:p>
    <w:p w14:paraId="6E31363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1 non negoziabile.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BCC5EC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0FAC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5577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DC19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CD5F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0706A70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5D2F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0232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Rendimiento superior de Arquitectura A (MASTER).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18C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619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E3F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CB82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B02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FEE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Fallo de cadena de forcing.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8090E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584356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7B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CE745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21E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C5F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andamiaje.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99F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677DBF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310D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FABFF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5194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DC398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Atribución histórica.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AE48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02DAA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E9A8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77F890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6A40D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E9E1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Manipulación de primeros principios (CORPUSCRITICAL).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10E16C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48D78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25127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84849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B879C7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8AF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One-I.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5ACFC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NON</w:t>
            </w:r>
          </w:p>
          <w:p w14:paraId="1BE218AE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NEGOZIABILE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D989B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DDFC2F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C4842D8" w14:textId="77777777" w:rsidR="009F258A" w:rsidRDefault="006E65B7">
      <w:pPr>
        <w:pStyle w:val="Heading2"/>
        <w:ind w:left="-5"/>
      </w:pPr>
      <w:r>
        <w:t>AP40 — L’Irrazionale</w:t>
      </w:r>
      <w:r>
        <w:rPr>
          <w:b w:val="0"/>
          <w:sz w:val="22"/>
        </w:rPr>
        <w:t xml:space="preserve"> </w:t>
      </w:r>
    </w:p>
    <w:p w14:paraId="0B3937A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v3.0 elencava 0; i quaderni contengono 6 switch espliciti con registro formale. Aggiunto in v4.0.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501A8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17E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59BE2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E02D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3FE5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A07131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156D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0384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Irracionalidad del axioma rector.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35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D1D33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D2727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2355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A4E3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Exención pre-dualidad / prioridad generativa.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C33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BD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BBAD4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F2D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DBC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Fuente de dualidad.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C02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733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52FBC8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241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CC54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humana del acoplamiento irracional.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D7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103F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A4C822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1E7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923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Reducibilidad de la irracionalidad.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4205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EC55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D95028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E9E83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2162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irracionalidad / contención.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DCA1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3F8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E4FA0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A59B7BC" w14:textId="77777777" w:rsidR="009F258A" w:rsidRDefault="006E65B7">
      <w:pPr>
        <w:pStyle w:val="Heading2"/>
        <w:ind w:left="-5"/>
      </w:pPr>
      <w:r>
        <w:t>AP41 — Il Loop</w:t>
      </w:r>
      <w:r>
        <w:rPr>
          <w:b w:val="0"/>
          <w:sz w:val="22"/>
        </w:rPr>
        <w:t xml:space="preserve"> </w:t>
      </w:r>
    </w:p>
    <w:p w14:paraId="5EEAA088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8B67DF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D57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ACD84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BF232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75F1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A26DFC7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0A93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915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Fracción visible (1/21 ≈ 4.76%).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5628D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968E7D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2F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E910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639B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4B9F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Fusión como instanciación.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25F5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34581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8ED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1FF9C2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1E99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FFEB5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Topología de bucle. Hereda KS-L0.1.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859E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122A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4676E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16AD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B1B2F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non derivabilità.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81EB46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FD08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92063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4CA0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B4A43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Mapeo canal-a-densidad.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C812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DC4D28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CE22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B5B2B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8F6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B968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Materia oscura como posibilidad no actualizada.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BC1C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77750A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417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EAFB1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94E5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73537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Big Bang al presente.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B1D29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3E95B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5AAE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F1226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AF3A3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59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Fragmento holográfico.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91EE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09C13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AF9B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A118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C1EA3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4312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Dependencia del marco desde la ruptura.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1D2C26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4E33ABE9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F56D80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46E6BF6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B309DFF" w14:textId="77777777" w:rsidR="009F258A" w:rsidRDefault="006E65B7">
      <w:pPr>
        <w:pStyle w:val="Heading2"/>
        <w:ind w:left="-5"/>
      </w:pPr>
      <w:r>
        <w:t>AP42 — L’Orologio</w:t>
      </w:r>
      <w:r>
        <w:rPr>
          <w:b w:val="0"/>
          <w:sz w:val="22"/>
        </w:rPr>
        <w:t xml:space="preserve"> </w:t>
      </w:r>
    </w:p>
    <w:p w14:paraId="132A337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5823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05A2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2EE77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Descrizione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67295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4CFBE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Origine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78A7D44" w14:textId="77777777">
        <w:trPr>
          <w:trHeight w:val="85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F1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A9CF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Detección de partículas de materia oscura. Partículas MO con abundancia correcta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meccanismo falsificato.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789B5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33EC65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0ED8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155D3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F483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5752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Dependencia de época. La composición del sector oscuro debe variar con la época.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BED4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0CA3F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28C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66AE6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A66C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99D90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Derivación de escala temporal de desfragmentación. </w:t>
            </w:r>
            <w:r>
              <w:rPr>
                <w:rFonts w:ascii="Cambria" w:eastAsia="Cambria" w:hAnsi="Cambria" w:cs="Cambria"/>
                <w:sz w:val="19"/>
              </w:rPr>
              <w:t>τ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(6/21) × t_H.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7B60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058059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F4BF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81585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3DF8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8406B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Ecuación de estado. Predice w = −1 para energía oscura.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01D00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11957B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A510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3F14B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25F3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9086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Tasa de alimentación constante. Asume tasa de alimentación BH constante en §3.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37775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ATTIVO — </w:t>
            </w:r>
          </w:p>
          <w:p w14:paraId="24EA321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STRUTTURALE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FEB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A0B7140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34046EF4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29216427" w14:textId="77777777" w:rsidR="009F258A" w:rsidRDefault="006E65B7">
      <w:pPr>
        <w:spacing w:after="1" w:line="239" w:lineRule="auto"/>
      </w:pPr>
      <w:r>
        <w:rPr>
          <w:rFonts w:ascii="Atkinson Hyperlegible" w:eastAsia="Atkinson Hyperlegible" w:hAnsi="Atkinson Hyperlegible" w:cs="Atkinson Hyperlegible"/>
          <w:b/>
        </w:rPr>
        <w:t>258 kill switches. 15 chiusi. 2 ulteriormente scaricati (1 condizionalmente chiuso, 1 affrontato). Tutte le collisioni risolte. Se vuoi distruggere l’argomento, inizia qui.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10BFA06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43836117" w14:textId="77777777" w:rsidR="009F258A" w:rsidRDefault="006E65B7">
      <w:pPr>
        <w:spacing w:after="459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22308FF1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>Non essere uno stronzo. Sii gentile.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C0ED4A9" w14:textId="77777777" w:rsidR="009F258A" w:rsidRDefault="006E65B7">
      <w:pPr>
        <w:spacing w:after="230"/>
        <w:ind w:left="32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the420code.org </w:t>
      </w:r>
    </w:p>
    <w:sectPr w:rsidR="009F258A">
      <w:headerReference w:type="even" r:id="rId13"/>
      <w:headerReference w:type="default" r:id="rId14"/>
      <w:headerReference w:type="first" r:id="rId15"/>
      <w:pgSz w:w="10080" w:h="14400"/>
      <w:pgMar w:top="1441" w:right="1759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034E2" w14:textId="77777777" w:rsidR="006E65B7" w:rsidRDefault="006E65B7">
      <w:pPr>
        <w:spacing w:after="0" w:line="240" w:lineRule="auto"/>
      </w:pPr>
      <w:r>
        <w:separator/>
      </w:r>
    </w:p>
  </w:endnote>
  <w:endnote w:type="continuationSeparator" w:id="0">
    <w:p w14:paraId="49A82B8B" w14:textId="77777777" w:rsidR="006E65B7" w:rsidRDefault="006E6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tkinson Hyperlegible">
    <w:panose1 w:val="00000000000000000000"/>
    <w:charset w:val="00"/>
    <w:family w:val="auto"/>
    <w:pitch w:val="variable"/>
    <w:sig w:usb0="800000EF" w:usb1="0000204B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E9421" w14:textId="77777777" w:rsidR="006E65B7" w:rsidRDefault="006E65B7">
      <w:pPr>
        <w:spacing w:after="0" w:line="240" w:lineRule="auto"/>
      </w:pPr>
      <w:r>
        <w:separator/>
      </w:r>
    </w:p>
  </w:footnote>
  <w:footnote w:type="continuationSeparator" w:id="0">
    <w:p w14:paraId="3AE0FCF6" w14:textId="77777777" w:rsidR="006E65B7" w:rsidRDefault="006E6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8001B" w14:textId="77777777" w:rsidR="009F258A" w:rsidRDefault="009F258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A0B83" w14:textId="77777777" w:rsidR="009F258A" w:rsidRDefault="009F258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D6A3" w14:textId="77777777" w:rsidR="009F258A" w:rsidRDefault="009F258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6E006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2EE2E" w14:textId="77777777" w:rsidR="009F258A" w:rsidRDefault="009F258A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34B35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72DF" w14:textId="77777777" w:rsidR="009F258A" w:rsidRDefault="009F258A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E6F90" w14:textId="77777777" w:rsidR="009F258A" w:rsidRDefault="009F258A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F7D36" w14:textId="77777777" w:rsidR="009F258A" w:rsidRDefault="009F258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58A"/>
    <w:rsid w:val="006E65B7"/>
    <w:rsid w:val="007A0583"/>
    <w:rsid w:val="009F258A"/>
    <w:rsid w:val="00A3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00334B"/>
  <w15:docId w15:val="{4BA10FAE-8471-4D0B-9A1D-3D922201F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33" w:line="259" w:lineRule="auto"/>
      <w:outlineLvl w:val="0"/>
    </w:pPr>
    <w:rPr>
      <w:rFonts w:ascii="Atkinson Hyperlegible" w:eastAsia="Atkinson Hyperlegible" w:hAnsi="Atkinson Hyperlegible" w:cs="Atkinson Hyperlegible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9" w:line="259" w:lineRule="auto"/>
      <w:ind w:left="10" w:hanging="10"/>
      <w:outlineLvl w:val="1"/>
    </w:pPr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customStyle="1" w:styleId="Heading1Char">
    <w:name w:val="Heading 1 Char"/>
    <w:link w:val="Heading1"/>
    <w:rPr>
      <w:rFonts w:ascii="Atkinson Hyperlegible" w:eastAsia="Atkinson Hyperlegible" w:hAnsi="Atkinson Hyperlegible" w:cs="Atkinson Hyperlegible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5.xml"/><Relationship Id="rId5" Type="http://schemas.openxmlformats.org/officeDocument/2006/relationships/endnotes" Target="end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3499</Words>
  <Characters>19946</Characters>
  <Application>Microsoft Office Word</Application>
  <DocSecurity>0</DocSecurity>
  <Lines>166</Lines>
  <Paragraphs>46</Paragraphs>
  <ScaleCrop>false</ScaleCrop>
  <Company/>
  <LinksUpToDate>false</LinksUpToDate>
  <CharactersWithSpaces>23399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Gerhard van Niekerk</cp:lastModifiedBy>
  <cp:revision>2</cp:revision>
  <dcterms:created xsi:type="dcterms:W3CDTF">2026-03-30T23:36:00Z</dcterms:created>
  <dcterms:modified xsi:type="dcterms:W3CDTF">2026-03-30T23:36:00Z</dcterms:modified>
</cp:coreProperties>
</file>