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pPr>
      <w:r>
        <w:rPr>
          <w:rFonts w:ascii="Atkinson Hyperlegible" w:cs="Atkinson Hyperlegible" w:eastAsia="Atkinson Hyperlegible" w:hAnsi="Atkinson Hyperlegible"/>
          <w:b/>
          <w:bCs/>
          <w:sz w:val="38"/>
          <w:szCs w:val="38"/>
        </w:rPr>
        <w:t xml:space="preserve">The Ripple Construction</w:t>
      </w:r>
    </w:p>
    <w:p>
      <w:pPr>
        <w:spacing w:after="165" w:line="280"/>
      </w:pPr>
      <w:r>
        <w:rPr>
          <w:rFonts w:ascii="Atkinson Hyperlegible" w:cs="Atkinson Hyperlegible" w:eastAsia="Atkinson Hyperlegible" w:hAnsi="Atkinson Hyperlegible"/>
          <w:b w:val="false"/>
          <w:bCs w:val="false"/>
          <w:i/>
          <w:iCs/>
          <w:sz w:val="22"/>
          <w:szCs w:val="22"/>
        </w:rPr>
        <w:t xml:space="preserve">Road Fourteen's model, built from the hashed describings and frozen before any comparison is run.</w:t>
      </w:r>
    </w:p>
    <w:p>
      <w:pPr>
        <w:spacing w:after="165" w:line="280"/>
      </w:pPr>
      <w:r>
        <w:rPr>
          <w:rFonts w:ascii="Atkinson Hyperlegible" w:cs="Atkinson Hyperlegible" w:eastAsia="Atkinson Hyperlegible" w:hAnsi="Atkinson Hyperlegible"/>
          <w:b w:val="false"/>
          <w:bCs w:val="false"/>
          <w:i/>
          <w:iCs/>
          <w:sz w:val="22"/>
          <w:szCs w:val="22"/>
        </w:rPr>
        <w:t xml:space="preserve">Desk construction, 13 September 2026. Built against the lodgement of the same date (AP54 v0.16, digest b80df9b9…, and the two describings). It contains no comparison, no residual and no value. The comparison is a separate desk's work and must not be done by the desk that wrote this.</w:t>
      </w:r>
    </w:p>
    <w:p>
      <w:pPr>
        <w:pStyle w:val="Heading1"/>
        <w:spacing w:after="240" w:before="520"/>
      </w:pPr>
      <w:r>
        <w:rPr>
          <w:rFonts w:ascii="Atkinson Hyperlegible" w:cs="Atkinson Hyperlegible" w:eastAsia="Atkinson Hyperlegible" w:hAnsi="Atkinson Hyperlegible"/>
          <w:b/>
          <w:bCs/>
          <w:color w:val="000000"/>
          <w:sz w:val="30"/>
          <w:szCs w:val="30"/>
        </w:rPr>
        <w:t xml:space="preserve">0 — The protocol position, stated first</w:t>
      </w:r>
    </w:p>
    <w:p>
      <w:pPr>
        <w:spacing w:after="165" w:line="280"/>
      </w:pPr>
      <w:r>
        <w:rPr>
          <w:rFonts w:ascii="Atkinson Hyperlegible" w:cs="Atkinson Hyperlegible" w:eastAsia="Atkinson Hyperlegible" w:hAnsi="Atkinson Hyperlegible"/>
          <w:b/>
          <w:bCs/>
          <w:i w:val="false"/>
          <w:iCs w:val="false"/>
          <w:sz w:val="22"/>
          <w:szCs w:val="22"/>
        </w:rPr>
        <w:t xml:space="preserve">This desk is not blind, and says so.</w:t>
      </w:r>
      <w:r>
        <w:rPr>
          <w:rFonts w:ascii="Atkinson Hyperlegible" w:cs="Atkinson Hyperlegible" w:eastAsia="Atkinson Hyperlegible" w:hAnsi="Atkinson Hyperlegible"/>
          <w:b w:val="false"/>
          <w:bCs w:val="false"/>
          <w:i w:val="false"/>
          <w:iCs w:val="false"/>
          <w:sz w:val="22"/>
          <w:szCs w:val="22"/>
        </w:rPr>
        <w:t xml:space="preserve"> It has spent two days computing with the proton's second-order coefficient, the proton's scaffold, the neutron's support and both leakage factors. A construction written by a desk that knows the targets cannot be a blind test in the strict sense, and calling it one would be the exact dishonesty the protocol exists to prevent.</w:t>
      </w:r>
    </w:p>
    <w:p>
      <w:pPr>
        <w:spacing w:after="165" w:line="280"/>
      </w:pPr>
      <w:r>
        <w:rPr>
          <w:rFonts w:ascii="Atkinson Hyperlegible" w:cs="Atkinson Hyperlegible" w:eastAsia="Atkinson Hyperlegible" w:hAnsi="Atkinson Hyperlegible"/>
          <w:b w:val="false"/>
          <w:bCs w:val="false"/>
          <w:i w:val="false"/>
          <w:iCs w:val="false"/>
          <w:sz w:val="22"/>
          <w:szCs w:val="22"/>
        </w:rPr>
        <w:t xml:space="preserve">What is available instead is weaker and still worth something: every input is named with its provenance, the forbidden list is fixed in advance, the construction is frozen here, and the comparison is run by a desk that did not build it. If the construction reproduces a target, the question a reader will rightly ask is whether it was steered. The answer has to be checkable in the text, not asserted — which is why every step below names what it uses.</w:t>
      </w:r>
    </w:p>
    <w:p>
      <w:pPr>
        <w:spacing w:after="165" w:line="280"/>
      </w:pPr>
      <w:r>
        <w:rPr>
          <w:rFonts w:ascii="Atkinson Hyperlegible" w:cs="Atkinson Hyperlegible" w:eastAsia="Atkinson Hyperlegible" w:hAnsi="Atkinson Hyperlegible"/>
          <w:b/>
          <w:bCs/>
          <w:i w:val="false"/>
          <w:iCs w:val="false"/>
          <w:sz w:val="22"/>
          <w:szCs w:val="22"/>
        </w:rPr>
        <w:t xml:space="preserve">The one protection that does work</w:t>
      </w:r>
      <w:r>
        <w:rPr>
          <w:rFonts w:ascii="Atkinson Hyperlegible" w:cs="Atkinson Hyperlegible" w:eastAsia="Atkinson Hyperlegible" w:hAnsi="Atkinson Hyperlegible"/>
          <w:b w:val="false"/>
          <w:bCs w:val="false"/>
          <w:i w:val="false"/>
          <w:iCs w:val="false"/>
          <w:sz w:val="22"/>
          <w:szCs w:val="22"/>
        </w:rPr>
        <w:t xml:space="preserve"> is the lodgement. What was held before this construction started is fixed and published with digests. A reader can check that nothing in the construction's inputs postdates it.</w:t>
      </w:r>
    </w:p>
    <w:p>
      <w:pPr>
        <w:pStyle w:val="Heading1"/>
        <w:spacing w:after="240" w:before="520"/>
      </w:pPr>
      <w:r>
        <w:rPr>
          <w:rFonts w:ascii="Atkinson Hyperlegible" w:cs="Atkinson Hyperlegible" w:eastAsia="Atkinson Hyperlegible" w:hAnsi="Atkinson Hyperlegible"/>
          <w:b/>
          <w:bCs/>
          <w:color w:val="000000"/>
          <w:sz w:val="30"/>
          <w:szCs w:val="30"/>
        </w:rPr>
        <w:t xml:space="preserve">1 — Inputs</w:t>
      </w:r>
    </w:p>
    <w:p>
      <w:pPr>
        <w:pStyle w:val="Heading2"/>
        <w:spacing w:after="200" w:before="440"/>
      </w:pPr>
      <w:r>
        <w:rPr>
          <w:rFonts w:ascii="Atkinson Hyperlegible" w:cs="Atkinson Hyperlegible" w:eastAsia="Atkinson Hyperlegible" w:hAnsi="Atkinson Hyperlegible"/>
          <w:b/>
          <w:bCs/>
          <w:color w:val="000000"/>
          <w:sz w:val="24"/>
          <w:szCs w:val="24"/>
        </w:rPr>
        <w:t xml:space="preserve">1.1 Allowed, with provenance</w:t>
      </w:r>
    </w:p>
    <w:p>
      <w:pPr>
        <w:spacing w:after="165" w:line="280"/>
      </w:pPr>
      <w:r>
        <w:rPr>
          <w:rFonts w:ascii="Atkinson Hyperlegible" w:cs="Atkinson Hyperlegible" w:eastAsia="Atkinson Hyperlegible" w:hAnsi="Atkinson Hyperlegible"/>
          <w:b w:val="false"/>
          <w:bCs w:val="false"/>
          <w:i w:val="false"/>
          <w:iCs w:val="false"/>
          <w:sz w:val="22"/>
          <w:szCs w:val="22"/>
        </w:rPr>
        <w:t xml:space="preserve">The four conditions S, B, R and C — the axiom. Predates every particle paper in the corpus.</w:t>
      </w:r>
    </w:p>
    <w:p>
      <w:pPr>
        <w:spacing w:after="165" w:line="280"/>
      </w:pPr>
      <w:r>
        <w:rPr>
          <w:rFonts w:ascii="Atkinson Hyperlegible" w:cs="Atkinson Hyperlegible" w:eastAsia="Atkinson Hyperlegible" w:hAnsi="Atkinson Hyperlegible"/>
          <w:b w:val="false"/>
          <w:bCs w:val="false"/>
          <w:i w:val="false"/>
          <w:iCs w:val="false"/>
          <w:sz w:val="22"/>
          <w:szCs w:val="22"/>
        </w:rPr>
        <w:t xml:space="preserve">Three spatial dimensions, and time — AP10, structural.</w:t>
      </w:r>
    </w:p>
    <w:p>
      <w:pPr>
        <w:spacing w:after="165" w:line="280"/>
      </w:pPr>
      <w:r>
        <w:rPr>
          <w:rFonts w:ascii="Atkinson Hyperlegible" w:cs="Atkinson Hyperlegible" w:eastAsia="Atkinson Hyperlegible" w:hAnsi="Atkinson Hyperlegible"/>
          <w:b w:val="false"/>
          <w:bCs w:val="false"/>
          <w:i w:val="false"/>
          <w:iCs w:val="false"/>
          <w:sz w:val="22"/>
          <w:szCs w:val="22"/>
        </w:rPr>
        <w:t xml:space="preserve">The six readings of the grain and their sorting into four held, one holding, one the record of the hold — AP10 §5.1, AP24 §2, AP50 §3.</w:t>
      </w:r>
    </w:p>
    <w:p>
      <w:pPr>
        <w:spacing w:after="165" w:line="280"/>
      </w:pPr>
      <w:r>
        <w:rPr>
          <w:rFonts w:ascii="Atkinson Hyperlegible" w:cs="Atkinson Hyperlegible" w:eastAsia="Atkinson Hyperlegible" w:hAnsi="Atkinson Hyperlegible"/>
          <w:b w:val="false"/>
          <w:bCs w:val="false"/>
          <w:i w:val="false"/>
          <w:iCs w:val="false"/>
          <w:sz w:val="22"/>
          <w:szCs w:val="22"/>
        </w:rPr>
        <w:t xml:space="preserve">Eighteen held channels, being six readings through three dimensions; three written at the now; twenty-one engaged at a cut — AP28, AP50 §4. Twenty-one is flagged: it appears in the proton's first-order term, so any step using it is marked where it occurs.</w:t>
      </w:r>
    </w:p>
    <w:p>
      <w:pPr>
        <w:spacing w:after="165" w:line="280"/>
      </w:pPr>
      <w:r>
        <w:rPr>
          <w:rFonts w:ascii="Atkinson Hyperlegible" w:cs="Atkinson Hyperlegible" w:eastAsia="Atkinson Hyperlegible" w:hAnsi="Atkinson Hyperlegible"/>
          <w:b w:val="false"/>
          <w:bCs w:val="false"/>
          <w:i w:val="false"/>
          <w:iCs w:val="false"/>
          <w:sz w:val="22"/>
          <w:szCs w:val="22"/>
        </w:rPr>
        <w:t xml:space="preserve">Two states of a binary distinction — forced by the word distinction and not taken from any paper.</w:t>
      </w:r>
    </w:p>
    <w:p>
      <w:pPr>
        <w:spacing w:after="165" w:line="280"/>
      </w:pPr>
      <w:r>
        <w:rPr>
          <w:rFonts w:ascii="Atkinson Hyperlegible" w:cs="Atkinson Hyperlegible" w:eastAsia="Atkinson Hyperlegible" w:hAnsi="Atkinson Hyperlegible"/>
          <w:b w:val="false"/>
          <w:bCs w:val="false"/>
          <w:i w:val="false"/>
          <w:iCs w:val="false"/>
          <w:sz w:val="22"/>
          <w:szCs w:val="22"/>
        </w:rPr>
        <w:t xml:space="preserve">The full solid angle — geometry.</w:t>
      </w:r>
    </w:p>
    <w:p>
      <w:pPr>
        <w:spacing w:after="165" w:line="280"/>
      </w:pPr>
      <w:r>
        <w:rPr>
          <w:rFonts w:ascii="Atkinson Hyperlegible" w:cs="Atkinson Hyperlegible" w:eastAsia="Atkinson Hyperlegible" w:hAnsi="Atkinson Hyperlegible"/>
          <w:b w:val="false"/>
          <w:bCs w:val="false"/>
          <w:i w:val="false"/>
          <w:iCs w:val="false"/>
          <w:sz w:val="22"/>
          <w:szCs w:val="22"/>
        </w:rPr>
        <w:t xml:space="preserve">The flat leak law: one ε shed per now, whatever the crowd — AP44, AP45, locked and prior.</w:t>
      </w:r>
    </w:p>
    <w:p>
      <w:pPr>
        <w:spacing w:after="165" w:line="280"/>
      </w:pPr>
      <w:r>
        <w:rPr>
          <w:rFonts w:ascii="Atkinson Hyperlegible" w:cs="Atkinson Hyperlegible" w:eastAsia="Atkinson Hyperlegible" w:hAnsi="Atkinson Hyperlegible"/>
          <w:b w:val="false"/>
          <w:bCs w:val="false"/>
          <w:i w:val="false"/>
          <w:iCs w:val="false"/>
          <w:sz w:val="22"/>
          <w:szCs w:val="22"/>
        </w:rPr>
        <w:t xml:space="preserve">The describings of 12 and 13 September, as hashed: the floor ripples; gravity pulls and the substrate resists and the contest does not resolve; a record is held on a moving floor; maintaining it there costs; the ripple carries a window open and shut; landings feed the ripple; one grain crosses the neck per tick.</w:t>
      </w:r>
    </w:p>
    <w:p>
      <w:pPr>
        <w:pStyle w:val="Heading2"/>
        <w:spacing w:after="200" w:before="440"/>
      </w:pPr>
      <w:r>
        <w:rPr>
          <w:rFonts w:ascii="Atkinson Hyperlegible" w:cs="Atkinson Hyperlegible" w:eastAsia="Atkinson Hyperlegible" w:hAnsi="Atkinson Hyperlegible"/>
          <w:b/>
          <w:bCs/>
          <w:color w:val="000000"/>
          <w:sz w:val="24"/>
          <w:szCs w:val="24"/>
        </w:rPr>
        <w:t xml:space="preserve">1.2 Forbidden as inputs</w:t>
      </w:r>
    </w:p>
    <w:p>
      <w:pPr>
        <w:spacing w:after="165" w:line="280"/>
      </w:pPr>
      <w:r>
        <w:rPr>
          <w:rFonts w:ascii="Atkinson Hyperlegible" w:cs="Atkinson Hyperlegible" w:eastAsia="Atkinson Hyperlegible" w:hAnsi="Atkinson Hyperlegible"/>
          <w:b w:val="false"/>
          <w:bCs w:val="false"/>
          <w:i w:val="false"/>
          <w:iCs w:val="false"/>
          <w:sz w:val="22"/>
          <w:szCs w:val="22"/>
        </w:rPr>
        <w:t xml:space="preserve">The proton's second-order support. The proton's scaffold. The neutron's support. Both leakage factors. The measured residuals of either row. The coupling's value. None of these appears anywhere below, and a reader can check that by searching for them.</w:t>
      </w:r>
    </w:p>
    <w:p>
      <w:pPr>
        <w:spacing w:after="165" w:line="280"/>
      </w:pPr>
      <w:r>
        <w:rPr>
          <w:rFonts w:ascii="Atkinson Hyperlegible" w:cs="Atkinson Hyperlegible" w:eastAsia="Atkinson Hyperlegible" w:hAnsi="Atkinson Hyperlegible"/>
          <w:b w:val="false"/>
          <w:bCs w:val="false"/>
          <w:i w:val="false"/>
          <w:iCs w:val="false"/>
          <w:sz w:val="22"/>
          <w:szCs w:val="22"/>
        </w:rPr>
        <w:t xml:space="preserve">If any of the six quantities in the preceding paragraph turns out to be required to complete a step, the construction stops at that step and says so. It does not borrow.</w:t>
      </w:r>
    </w:p>
    <w:p>
      <w:pPr>
        <w:pStyle w:val="Heading1"/>
        <w:spacing w:after="240" w:before="520"/>
      </w:pPr>
      <w:r>
        <w:rPr>
          <w:rFonts w:ascii="Atkinson Hyperlegible" w:cs="Atkinson Hyperlegible" w:eastAsia="Atkinson Hyperlegible" w:hAnsi="Atkinson Hyperlegible"/>
          <w:b/>
          <w:bCs/>
          <w:color w:val="000000"/>
          <w:sz w:val="30"/>
          <w:szCs w:val="30"/>
        </w:rPr>
        <w:t xml:space="preserve">2 — The construction</w:t>
      </w:r>
    </w:p>
    <w:p>
      <w:pPr>
        <w:pStyle w:val="Heading2"/>
        <w:spacing w:after="200" w:before="440"/>
      </w:pPr>
      <w:r>
        <w:rPr>
          <w:rFonts w:ascii="Atkinson Hyperlegible" w:cs="Atkinson Hyperlegible" w:eastAsia="Atkinson Hyperlegible" w:hAnsi="Atkinson Hyperlegible"/>
          <w:b/>
          <w:bCs/>
          <w:color w:val="000000"/>
          <w:sz w:val="24"/>
          <w:szCs w:val="24"/>
        </w:rPr>
        <w:t xml:space="preserve">R1 — What a hold is</w:t>
      </w:r>
    </w:p>
    <w:p>
      <w:pPr>
        <w:spacing w:after="165" w:line="280"/>
      </w:pPr>
      <w:r>
        <w:rPr>
          <w:rFonts w:ascii="Atkinson Hyperlegible" w:cs="Atkinson Hyperlegible" w:eastAsia="Atkinson Hyperlegible" w:hAnsi="Atkinson Hyperlegible"/>
          <w:b w:val="false"/>
          <w:bCs w:val="false"/>
          <w:i w:val="false"/>
          <w:iCs w:val="false"/>
          <w:sz w:val="22"/>
          <w:szCs w:val="22"/>
        </w:rPr>
        <w:t xml:space="preserve">A record is a configuration that satisfies all four conditions, occupies the three dimensions, and persists. Nothing here is new; it is the axiom with AP10's dimensions.</w:t>
      </w:r>
    </w:p>
    <w:p>
      <w:pPr>
        <w:pStyle w:val="Heading2"/>
        <w:spacing w:after="200" w:before="440"/>
      </w:pPr>
      <w:r>
        <w:rPr>
          <w:rFonts w:ascii="Atkinson Hyperlegible" w:cs="Atkinson Hyperlegible" w:eastAsia="Atkinson Hyperlegible" w:hAnsi="Atkinson Hyperlegible"/>
          <w:b/>
          <w:bCs/>
          <w:color w:val="000000"/>
          <w:sz w:val="24"/>
          <w:szCs w:val="24"/>
        </w:rPr>
        <w:t xml:space="preserve">R2 — The floor does not stand still</w:t>
      </w:r>
    </w:p>
    <w:p>
      <w:pPr>
        <w:spacing w:after="165" w:line="280"/>
      </w:pPr>
      <w:r>
        <w:rPr>
          <w:rFonts w:ascii="Atkinson Hyperlegible" w:cs="Atkinson Hyperlegible" w:eastAsia="Atkinson Hyperlegible" w:hAnsi="Atkinson Hyperlegible"/>
          <w:b w:val="false"/>
          <w:bCs w:val="false"/>
          <w:i w:val="false"/>
          <w:iCs w:val="false"/>
          <w:sz w:val="22"/>
          <w:szCs w:val="22"/>
        </w:rPr>
        <w:t xml:space="preserve">Gravity pulls the substrate; the substrate resists; the contest never resolves. The describing's claim, and the corpus already carries the same mechanism in AP46 §3, where a held configuration is a live tug-of-war frozen at the rope's middle with both sides at full strength.</w:t>
      </w:r>
    </w:p>
    <w:p>
      <w:pPr>
        <w:pStyle w:val="Heading2"/>
        <w:spacing w:after="200" w:before="440"/>
      </w:pPr>
      <w:r>
        <w:rPr>
          <w:rFonts w:ascii="Atkinson Hyperlegible" w:cs="Atkinson Hyperlegible" w:eastAsia="Atkinson Hyperlegible" w:hAnsi="Atkinson Hyperlegible"/>
          <w:b/>
          <w:bCs/>
          <w:color w:val="000000"/>
          <w:sz w:val="24"/>
          <w:szCs w:val="24"/>
        </w:rPr>
        <w:t xml:space="preserve">R3 — A hold on a moving floor is re-established, not merely maintained</w:t>
      </w:r>
    </w:p>
    <w:p>
      <w:pPr>
        <w:spacing w:after="165" w:line="280"/>
      </w:pPr>
      <w:r>
        <w:rPr>
          <w:rFonts w:ascii="Atkinson Hyperlegible" w:cs="Atkinson Hyperlegible" w:eastAsia="Atkinson Hyperlegible" w:hAnsi="Atkinson Hyperlegible"/>
          <w:b w:val="false"/>
          <w:bCs w:val="false"/>
          <w:i w:val="false"/>
          <w:iCs w:val="false"/>
          <w:sz w:val="22"/>
          <w:szCs w:val="22"/>
        </w:rPr>
        <w:t xml:space="preserve">If the support under a configuration moves and the configuration stays held, then the holding is being done again. A thing held on a moving floor is not one act of holding that persists; it is an act repeated. This is the describing's central claim and it is the whole of what the ripple adds.</w:t>
      </w:r>
    </w:p>
    <w:p>
      <w:pPr>
        <w:pStyle w:val="Heading2"/>
        <w:spacing w:after="200" w:before="440"/>
      </w:pPr>
      <w:r>
        <w:rPr>
          <w:rFonts w:ascii="Atkinson Hyperlegible" w:cs="Atkinson Hyperlegible" w:eastAsia="Atkinson Hyperlegible" w:hAnsi="Atkinson Hyperlegible"/>
          <w:b/>
          <w:bCs/>
          <w:color w:val="000000"/>
          <w:sz w:val="24"/>
          <w:szCs w:val="24"/>
        </w:rPr>
        <w:t xml:space="preserve">R4 — Each re-establishment is a writing, and writings cost</w:t>
      </w:r>
    </w:p>
    <w:p>
      <w:pPr>
        <w:spacing w:after="165" w:line="280"/>
      </w:pPr>
      <w:r>
        <w:rPr>
          <w:rFonts w:ascii="Atkinson Hyperlegible" w:cs="Atkinson Hyperlegible" w:eastAsia="Atkinson Hyperlegible" w:hAnsi="Atkinson Hyperlegible"/>
          <w:b w:val="false"/>
          <w:bCs w:val="false"/>
          <w:i w:val="false"/>
          <w:iCs w:val="false"/>
          <w:sz w:val="22"/>
          <w:szCs w:val="22"/>
        </w:rPr>
        <w:t xml:space="preserve">By R, a record is written and not unwritten. A re-establishment of a hold is therefore a writing, and by AP06 §4 and AP24's sixth face every irreversible writing carries a cost. So a hold on a moving floor pays, and pays at every tick rather than once.</w:t>
      </w:r>
    </w:p>
    <w:p>
      <w:pPr>
        <w:spacing w:after="165" w:line="280"/>
      </w:pPr>
      <w:r>
        <w:rPr>
          <w:rFonts w:ascii="Atkinson Hyperlegible" w:cs="Atkinson Hyperlegible" w:eastAsia="Atkinson Hyperlegible" w:hAnsi="Atkinson Hyperlegible"/>
          <w:b/>
          <w:bCs/>
          <w:i w:val="false"/>
          <w:iCs w:val="false"/>
          <w:sz w:val="22"/>
          <w:szCs w:val="22"/>
        </w:rPr>
        <w:t xml:space="preserve">Derived: a hold has a recurring cost.</w:t>
      </w:r>
      <w:r>
        <w:rPr>
          <w:rFonts w:ascii="Atkinson Hyperlegible" w:cs="Atkinson Hyperlegible" w:eastAsia="Atkinson Hyperlegible" w:hAnsi="Atkinson Hyperlegible"/>
          <w:b w:val="false"/>
          <w:bCs w:val="false"/>
          <w:i w:val="false"/>
          <w:iCs w:val="false"/>
          <w:sz w:val="22"/>
          <w:szCs w:val="22"/>
        </w:rPr>
        <w:t xml:space="preserve"> The corpus already books such a cost. What is derived here is why there is one at all, which the corpus books without explaining.</w:t>
      </w:r>
    </w:p>
    <w:p>
      <w:pPr>
        <w:pStyle w:val="Heading2"/>
        <w:spacing w:after="200" w:before="440"/>
      </w:pPr>
      <w:r>
        <w:rPr>
          <w:rFonts w:ascii="Atkinson Hyperlegible" w:cs="Atkinson Hyperlegible" w:eastAsia="Atkinson Hyperlegible" w:hAnsi="Atkinson Hyperlegible"/>
          <w:b/>
          <w:bCs/>
          <w:color w:val="000000"/>
          <w:sz w:val="24"/>
          <w:szCs w:val="24"/>
        </w:rPr>
        <w:t xml:space="preserve">R5 — What the cost is levied against</w:t>
      </w:r>
    </w:p>
    <w:p>
      <w:pPr>
        <w:spacing w:after="165" w:line="280"/>
      </w:pPr>
      <w:r>
        <w:rPr>
          <w:rFonts w:ascii="Atkinson Hyperlegible" w:cs="Atkinson Hyperlegible" w:eastAsia="Atkinson Hyperlegible" w:hAnsi="Atkinson Hyperlegible"/>
          <w:b w:val="false"/>
          <w:bCs w:val="false"/>
          <w:i w:val="false"/>
          <w:iCs w:val="false"/>
          <w:sz w:val="22"/>
          <w:szCs w:val="22"/>
        </w:rPr>
        <w:t xml:space="preserve">Re-establishing a hold means re-establishing everything that makes it one. From R1 that is the four conditions, across the three dimensions. But the re-establishment is not a static census: by R3 and R4 it is an event, and an event happens in time. So time enters the support not as a dimension the configuration sits in but as the axis along which the re-establishment occurs.</w:t>
      </w:r>
    </w:p>
    <w:p>
      <w:pPr>
        <w:spacing w:after="165" w:line="280"/>
      </w:pPr>
      <w:r>
        <w:rPr>
          <w:rFonts w:ascii="Atkinson Hyperlegible" w:cs="Atkinson Hyperlegible" w:eastAsia="Atkinson Hyperlegible" w:hAnsi="Atkinson Hyperlegible"/>
          <w:b/>
          <w:bCs/>
          <w:i w:val="false"/>
          <w:iCs w:val="false"/>
          <w:sz w:val="22"/>
          <w:szCs w:val="22"/>
        </w:rPr>
        <w:t xml:space="preserve">Derived: the support of one re-establishment is the four conditions across three dimensions and time — four times four.</w:t>
      </w:r>
      <w:r>
        <w:rPr>
          <w:rFonts w:ascii="Atkinson Hyperlegible" w:cs="Atkinson Hyperlegible" w:eastAsia="Atkinson Hyperlegible" w:hAnsi="Atkinson Hyperlegible"/>
          <w:b w:val="false"/>
          <w:bCs w:val="false"/>
          <w:i w:val="false"/>
          <w:iCs w:val="false"/>
          <w:sz w:val="22"/>
          <w:szCs w:val="22"/>
        </w:rPr>
        <w:t xml:space="preserve"> A static count of the same configuration gives four times three. The difference between them is the whole of the ripple's contribution, and it is the reason a census that treats the floor as still would miss this cost entirely.</w:t>
      </w:r>
    </w:p>
    <w:p>
      <w:pPr>
        <w:spacing w:after="165" w:line="280"/>
      </w:pPr>
      <w:r>
        <w:rPr>
          <w:rFonts w:ascii="Atkinson Hyperlegible" w:cs="Atkinson Hyperlegible" w:eastAsia="Atkinson Hyperlegible" w:hAnsi="Atkinson Hyperlegible"/>
          <w:b w:val="false"/>
          <w:bCs w:val="false"/>
          <w:i w:val="false"/>
          <w:iCs w:val="false"/>
          <w:sz w:val="22"/>
          <w:szCs w:val="22"/>
        </w:rPr>
        <w:t xml:space="preserve">Provenance of every number in that step: four from the axiom, three from AP10, and the fourth axis from R3 and R4 above. Nothing from any particle paper.</w:t>
      </w:r>
    </w:p>
    <w:p>
      <w:pPr>
        <w:pStyle w:val="Heading2"/>
        <w:spacing w:after="200" w:before="440"/>
      </w:pPr>
      <w:r>
        <w:rPr>
          <w:rFonts w:ascii="Atkinson Hyperlegible" w:cs="Atkinson Hyperlegible" w:eastAsia="Atkinson Hyperlegible" w:hAnsi="Atkinson Hyperlegible"/>
          <w:b/>
          <w:bCs/>
          <w:color w:val="000000"/>
          <w:sz w:val="24"/>
          <w:szCs w:val="24"/>
        </w:rPr>
        <w:t xml:space="preserve">R6 — The cost is a share, and the share compounds</w:t>
      </w:r>
    </w:p>
    <w:p>
      <w:pPr>
        <w:spacing w:after="165" w:line="280"/>
      </w:pPr>
      <w:r>
        <w:rPr>
          <w:rFonts w:ascii="Atkinson Hyperlegible" w:cs="Atkinson Hyperlegible" w:eastAsia="Atkinson Hyperlegible" w:hAnsi="Atkinson Hyperlegible"/>
          <w:b w:val="false"/>
          <w:bCs w:val="false"/>
          <w:i w:val="false"/>
          <w:iCs w:val="false"/>
          <w:sz w:val="22"/>
          <w:szCs w:val="22"/>
        </w:rPr>
        <w:t xml:space="preserve">The re-establishment costs against the support of the hold. It is paid out of the configuration being held, so it is a share: the support of the re-establishment over the extent of the configuration itself.</w:t>
      </w:r>
    </w:p>
    <w:p>
      <w:pPr>
        <w:spacing w:after="165" w:line="280"/>
      </w:pPr>
      <w:r>
        <w:rPr>
          <w:rFonts w:ascii="Atkinson Hyperlegible" w:cs="Atkinson Hyperlegible" w:eastAsia="Atkinson Hyperlegible" w:hAnsi="Atkinson Hyperlegible"/>
          <w:b w:val="false"/>
          <w:bCs w:val="false"/>
          <w:i w:val="false"/>
          <w:iCs w:val="false"/>
          <w:sz w:val="22"/>
          <w:szCs w:val="22"/>
        </w:rPr>
        <w:t xml:space="preserve">The re-establishment is itself a held thing — it must persist or the hold lapses — so by R3 it is re-established in turn, at the same share. And so on.</w:t>
      </w:r>
    </w:p>
    <w:p>
      <w:pPr>
        <w:spacing w:after="165" w:line="280"/>
      </w:pPr>
      <w:r>
        <w:rPr>
          <w:rFonts w:ascii="Atkinson Hyperlegible" w:cs="Atkinson Hyperlegible" w:eastAsia="Atkinson Hyperlegible" w:hAnsi="Atkinson Hyperlegible"/>
          <w:b/>
          <w:bCs/>
          <w:i w:val="false"/>
          <w:iCs w:val="false"/>
          <w:sz w:val="22"/>
          <w:szCs w:val="22"/>
        </w:rPr>
        <w:t xml:space="preserve">Derived: a geometric series, each term the previous times the same share.</w:t>
      </w:r>
      <w:r>
        <w:rPr>
          <w:rFonts w:ascii="Atkinson Hyperlegible" w:cs="Atkinson Hyperlegible" w:eastAsia="Atkinson Hyperlegible" w:hAnsi="Atkinson Hyperlegible"/>
          <w:b w:val="false"/>
          <w:bCs w:val="false"/>
          <w:i w:val="false"/>
          <w:iCs w:val="false"/>
          <w:sz w:val="22"/>
          <w:szCs w:val="22"/>
        </w:rPr>
        <w:t xml:space="preserve"> The share is the re-establishment support derived in R5, over whatever extent the configuration has, divided by nothing else and multiplied by the coupling. The extent is supplied by the configuration and not by the ripple — the ripple does not know how large any particular record is, and does not claim to.</w:t>
      </w:r>
    </w:p>
    <w:p>
      <w:pPr>
        <w:spacing w:after="165" w:line="280"/>
      </w:pPr>
      <w:r>
        <w:rPr>
          <w:rFonts w:ascii="Atkinson Hyperlegible" w:cs="Atkinson Hyperlegible" w:eastAsia="Atkinson Hyperlegible" w:hAnsi="Atkinson Hyperlegible"/>
          <w:b/>
          <w:bCs/>
          <w:i w:val="false"/>
          <w:iCs w:val="false"/>
          <w:sz w:val="22"/>
          <w:szCs w:val="22"/>
        </w:rPr>
        <w:t xml:space="preserve">Also derived: the first correction sits at second order in the coupling.</w:t>
      </w:r>
      <w:r>
        <w:rPr>
          <w:rFonts w:ascii="Atkinson Hyperlegible" w:cs="Atkinson Hyperlegible" w:eastAsia="Atkinson Hyperlegible" w:hAnsi="Atkinson Hyperlegible"/>
          <w:b w:val="false"/>
          <w:bCs w:val="false"/>
          <w:i w:val="false"/>
          <w:iCs w:val="false"/>
          <w:sz w:val="22"/>
          <w:szCs w:val="22"/>
        </w:rPr>
        <w:t xml:space="preserve"> The first-order term is the hold priced in coupling; the re-hold is a share of that, and the share itself carries a coupling. Rate times worth. Nothing in this step needs the amplitude of the ripple, which is what an earlier argument from the variance of a vibration did need and could not supply.</w:t>
      </w:r>
    </w:p>
    <w:p>
      <w:pPr>
        <w:pStyle w:val="Heading2"/>
        <w:spacing w:after="200" w:before="440"/>
      </w:pPr>
      <w:r>
        <w:rPr>
          <w:rFonts w:ascii="Atkinson Hyperlegible" w:cs="Atkinson Hyperlegible" w:eastAsia="Atkinson Hyperlegible" w:hAnsi="Atkinson Hyperlegible"/>
          <w:b/>
          <w:bCs/>
          <w:color w:val="000000"/>
          <w:sz w:val="24"/>
          <w:szCs w:val="24"/>
        </w:rPr>
        <w:t xml:space="preserve">R7 — A distinction held away from ground</w:t>
      </w:r>
    </w:p>
    <w:p>
      <w:pPr>
        <w:spacing w:after="165" w:line="280"/>
      </w:pPr>
      <w:r>
        <w:rPr>
          <w:rFonts w:ascii="Atkinson Hyperlegible" w:cs="Atkinson Hyperlegible" w:eastAsia="Atkinson Hyperlegible" w:hAnsi="Atkinson Hyperlegible"/>
          <w:b w:val="false"/>
          <w:bCs w:val="false"/>
          <w:i w:val="false"/>
          <w:iCs w:val="false"/>
          <w:sz w:val="22"/>
          <w:szCs w:val="22"/>
        </w:rPr>
        <w:t xml:space="preserve">A configuration holding a binary distinction away from its ground state is holding one thing more than a ground configuration. Its re-establishment support is the number of states of that distinction, which is two, across the same three dimensions and time.</w:t>
      </w:r>
    </w:p>
    <w:p>
      <w:pPr>
        <w:spacing w:after="165" w:line="280"/>
      </w:pPr>
      <w:r>
        <w:rPr>
          <w:rFonts w:ascii="Atkinson Hyperlegible" w:cs="Atkinson Hyperlegible" w:eastAsia="Atkinson Hyperlegible" w:hAnsi="Atkinson Hyperlegible"/>
          <w:b/>
          <w:bCs/>
          <w:i w:val="false"/>
          <w:iCs w:val="false"/>
          <w:sz w:val="22"/>
          <w:szCs w:val="22"/>
        </w:rPr>
        <w:t xml:space="preserve">Derived: two times four.</w:t>
      </w:r>
      <w:r>
        <w:rPr>
          <w:rFonts w:ascii="Atkinson Hyperlegible" w:cs="Atkinson Hyperlegible" w:eastAsia="Atkinson Hyperlegible" w:hAnsi="Atkinson Hyperlegible"/>
          <w:b w:val="false"/>
          <w:bCs w:val="false"/>
          <w:i w:val="false"/>
          <w:iCs w:val="false"/>
          <w:sz w:val="22"/>
          <w:szCs w:val="22"/>
        </w:rPr>
        <w:t xml:space="preserve"> And its cost is rate times worth, so second order in the coupling, by the same argument as R6.</w:t>
      </w:r>
    </w:p>
    <w:p>
      <w:pPr>
        <w:spacing w:after="165" w:line="280"/>
      </w:pPr>
      <w:r>
        <w:rPr>
          <w:rFonts w:ascii="Atkinson Hyperlegible" w:cs="Atkinson Hyperlegible" w:eastAsia="Atkinson Hyperlegible" w:hAnsi="Atkinson Hyperlegible"/>
          <w:b w:val="false"/>
          <w:bCs w:val="false"/>
          <w:i w:val="false"/>
          <w:iCs w:val="false"/>
          <w:sz w:val="22"/>
          <w:szCs w:val="22"/>
        </w:rPr>
        <w:t xml:space="preserve">Provenance: two from the word distinction, four from R5. Nothing from any particle paper.</w:t>
      </w:r>
    </w:p>
    <w:p>
      <w:pPr>
        <w:pStyle w:val="Heading2"/>
        <w:spacing w:after="200" w:before="440"/>
      </w:pPr>
      <w:r>
        <w:rPr>
          <w:rFonts w:ascii="Atkinson Hyperlegible" w:cs="Atkinson Hyperlegible" w:eastAsia="Atkinson Hyperlegible" w:hAnsi="Atkinson Hyperlegible"/>
          <w:b/>
          <w:bCs/>
          <w:color w:val="000000"/>
          <w:sz w:val="24"/>
          <w:szCs w:val="24"/>
        </w:rPr>
        <w:t xml:space="preserve">R8 — Where the leak goes, and the geometry that goes with it</w:t>
      </w:r>
    </w:p>
    <w:p>
      <w:pPr>
        <w:spacing w:after="165" w:line="280"/>
      </w:pPr>
      <w:r>
        <w:rPr>
          <w:rFonts w:ascii="Atkinson Hyperlegible" w:cs="Atkinson Hyperlegible" w:eastAsia="Atkinson Hyperlegible" w:hAnsi="Atkinson Hyperlegible"/>
          <w:b w:val="false"/>
          <w:bCs w:val="false"/>
          <w:i w:val="false"/>
          <w:iCs w:val="false"/>
          <w:sz w:val="22"/>
          <w:szCs w:val="22"/>
        </w:rPr>
        <w:t xml:space="preserve">A leak from a held configuration escapes; by C it escapes isotropically, into the full solid angle. It is divided among the structures it escapes through.</w:t>
      </w:r>
    </w:p>
    <w:p>
      <w:pPr>
        <w:spacing w:after="165" w:line="280"/>
      </w:pPr>
      <w:r>
        <w:rPr>
          <w:rFonts w:ascii="Atkinson Hyperlegible" w:cs="Atkinson Hyperlegible" w:eastAsia="Atkinson Hyperlegible" w:hAnsi="Atkinson Hyperlegible"/>
          <w:b/>
          <w:bCs/>
          <w:i w:val="false"/>
          <w:iCs w:val="false"/>
          <w:sz w:val="22"/>
          <w:szCs w:val="22"/>
        </w:rPr>
        <w:t xml:space="preserve">Derived: a leakage factor of one over the escape support times the full solid angle.</w:t>
      </w:r>
    </w:p>
    <w:p>
      <w:pPr>
        <w:spacing w:after="165" w:line="280"/>
      </w:pPr>
      <w:r>
        <w:rPr>
          <w:rFonts w:ascii="Atkinson Hyperlegible" w:cs="Atkinson Hyperlegible" w:eastAsia="Atkinson Hyperlegible" w:hAnsi="Atkinson Hyperlegible"/>
          <w:b/>
          <w:bCs/>
          <w:i w:val="false"/>
          <w:iCs w:val="false"/>
          <w:sz w:val="22"/>
          <w:szCs w:val="22"/>
        </w:rPr>
        <w:t xml:space="preserve">And a commitment the construction is obliged to make.</w:t>
      </w:r>
      <w:r>
        <w:rPr>
          <w:rFonts w:ascii="Atkinson Hyperlegible" w:cs="Atkinson Hyperlegible" w:eastAsia="Atkinson Hyperlegible" w:hAnsi="Atkinson Hyperlegible"/>
          <w:b w:val="false"/>
          <w:bCs w:val="false"/>
          <w:i w:val="false"/>
          <w:iCs w:val="false"/>
          <w:sz w:val="22"/>
          <w:szCs w:val="22"/>
        </w:rPr>
        <w:t xml:space="preserve"> The escape support and the re-establishment support are not the same number and the model must say which is which. A leak escapes through the channels the configuration occupies. A re-establishment is levied over the conditions that make it a record. Those are different operations over different supports, and the model predicts different counts for them in the same particle. That prediction is checkable and it is the sharpest thing here.</w:t>
      </w:r>
    </w:p>
    <w:p>
      <w:pPr>
        <w:spacing w:after="165" w:line="280"/>
      </w:pPr>
      <w:r>
        <w:rPr>
          <w:rFonts w:ascii="Atkinson Hyperlegible" w:cs="Atkinson Hyperlegible" w:eastAsia="Atkinson Hyperlegible" w:hAnsi="Atkinson Hyperlegible"/>
          <w:b/>
          <w:bCs/>
          <w:i w:val="false"/>
          <w:iCs w:val="false"/>
          <w:sz w:val="22"/>
          <w:szCs w:val="22"/>
        </w:rPr>
        <w:t xml:space="preserve">One ambiguity the construction inherits and cannot settle.</w:t>
      </w:r>
      <w:r>
        <w:rPr>
          <w:rFonts w:ascii="Atkinson Hyperlegible" w:cs="Atkinson Hyperlegible" w:eastAsia="Atkinson Hyperlegible" w:hAnsi="Atkinson Hyperlegible"/>
          <w:b w:val="false"/>
          <w:bCs w:val="false"/>
          <w:i w:val="false"/>
          <w:iCs w:val="false"/>
          <w:sz w:val="22"/>
          <w:szCs w:val="22"/>
        </w:rPr>
        <w:t xml:space="preserve"> A factor of the form one over a support times the full solid angle can be written two ways when the support itself contains a four. AP54 §13 already puts this question to AP30 and AP47 and neither has answered it. This construction commits to support times full solid angle, and if the papers meant the other decomposition the commitment is wrong and the model is wrong with it. Stated here so the comparison can fire on it.</w:t>
      </w:r>
    </w:p>
    <w:p>
      <w:pPr>
        <w:pStyle w:val="Heading1"/>
        <w:spacing w:after="240" w:before="520"/>
      </w:pPr>
      <w:r>
        <w:rPr>
          <w:rFonts w:ascii="Atkinson Hyperlegible" w:cs="Atkinson Hyperlegible" w:eastAsia="Atkinson Hyperlegible" w:hAnsi="Atkinson Hyperlegible"/>
          <w:b/>
          <w:bCs/>
          <w:color w:val="000000"/>
          <w:sz w:val="30"/>
          <w:szCs w:val="30"/>
        </w:rPr>
        <w:t xml:space="preserve">3 — What the construction gives</w:t>
      </w:r>
    </w:p>
    <w:p>
      <w:pPr>
        <w:spacing w:after="165" w:line="280"/>
      </w:pPr>
      <w:r>
        <w:rPr>
          <w:rFonts w:ascii="Atkinson Hyperlegible" w:cs="Atkinson Hyperlegible" w:eastAsia="Atkinson Hyperlegible" w:hAnsi="Atkinson Hyperlegible"/>
          <w:b w:val="false"/>
          <w:bCs w:val="false"/>
          <w:i w:val="false"/>
          <w:iCs w:val="false"/>
          <w:sz w:val="22"/>
          <w:szCs w:val="22"/>
        </w:rPr>
        <w:t xml:space="preserve">A recurring cost on any hold, because the floor moves.</w:t>
      </w:r>
    </w:p>
    <w:p>
      <w:pPr>
        <w:spacing w:after="165" w:line="280"/>
      </w:pPr>
      <w:r>
        <w:rPr>
          <w:rFonts w:ascii="Atkinson Hyperlegible" w:cs="Atkinson Hyperlegible" w:eastAsia="Atkinson Hyperlegible" w:hAnsi="Atkinson Hyperlegible"/>
          <w:b w:val="false"/>
          <w:bCs w:val="false"/>
          <w:i w:val="false"/>
          <w:iCs w:val="false"/>
          <w:sz w:val="22"/>
          <w:szCs w:val="22"/>
        </w:rPr>
        <w:t xml:space="preserve">A re-establishment support of four conditions across three dimensions and time.</w:t>
      </w:r>
    </w:p>
    <w:p>
      <w:pPr>
        <w:spacing w:after="165" w:line="280"/>
      </w:pPr>
      <w:r>
        <w:rPr>
          <w:rFonts w:ascii="Atkinson Hyperlegible" w:cs="Atkinson Hyperlegible" w:eastAsia="Atkinson Hyperlegible" w:hAnsi="Atkinson Hyperlegible"/>
          <w:b w:val="false"/>
          <w:bCs w:val="false"/>
          <w:i w:val="false"/>
          <w:iCs w:val="false"/>
          <w:sz w:val="22"/>
          <w:szCs w:val="22"/>
        </w:rPr>
        <w:t xml:space="preserve">A geometric series in that share, with the configuration's own extent as the denominator.</w:t>
      </w:r>
    </w:p>
    <w:p>
      <w:pPr>
        <w:spacing w:after="165" w:line="280"/>
      </w:pPr>
      <w:r>
        <w:rPr>
          <w:rFonts w:ascii="Atkinson Hyperlegible" w:cs="Atkinson Hyperlegible" w:eastAsia="Atkinson Hyperlegible" w:hAnsi="Atkinson Hyperlegible"/>
          <w:b w:val="false"/>
          <w:bCs w:val="false"/>
          <w:i w:val="false"/>
          <w:iCs w:val="false"/>
          <w:sz w:val="22"/>
          <w:szCs w:val="22"/>
        </w:rPr>
        <w:t xml:space="preserve">A first correction at second order in the coupling, by rate times worth and without needing a ripple amplitude.</w:t>
      </w:r>
    </w:p>
    <w:p>
      <w:pPr>
        <w:spacing w:after="165" w:line="280"/>
      </w:pPr>
      <w:r>
        <w:rPr>
          <w:rFonts w:ascii="Atkinson Hyperlegible" w:cs="Atkinson Hyperlegible" w:eastAsia="Atkinson Hyperlegible" w:hAnsi="Atkinson Hyperlegible"/>
          <w:b w:val="false"/>
          <w:bCs w:val="false"/>
          <w:i w:val="false"/>
          <w:iCs w:val="false"/>
          <w:sz w:val="22"/>
          <w:szCs w:val="22"/>
        </w:rPr>
        <w:t xml:space="preserve">For a held binary distinction, a support of two across the same four, also at second order.</w:t>
      </w:r>
    </w:p>
    <w:p>
      <w:pPr>
        <w:spacing w:after="165" w:line="280"/>
      </w:pPr>
      <w:r>
        <w:rPr>
          <w:rFonts w:ascii="Atkinson Hyperlegible" w:cs="Atkinson Hyperlegible" w:eastAsia="Atkinson Hyperlegible" w:hAnsi="Atkinson Hyperlegible"/>
          <w:b w:val="false"/>
          <w:bCs w:val="false"/>
          <w:i w:val="false"/>
          <w:iCs w:val="false"/>
          <w:sz w:val="22"/>
          <w:szCs w:val="22"/>
        </w:rPr>
        <w:t xml:space="preserve">A leakage factor of one over the escape support times the full solid angle, with escape support and re-establishment support explicitly different.</w:t>
      </w:r>
    </w:p>
    <w:p>
      <w:pPr>
        <w:pStyle w:val="Heading1"/>
        <w:spacing w:after="240" w:before="520"/>
      </w:pPr>
      <w:r>
        <w:rPr>
          <w:rFonts w:ascii="Atkinson Hyperlegible" w:cs="Atkinson Hyperlegible" w:eastAsia="Atkinson Hyperlegible" w:hAnsi="Atkinson Hyperlegible"/>
          <w:b/>
          <w:bCs/>
          <w:color w:val="000000"/>
          <w:sz w:val="30"/>
          <w:szCs w:val="30"/>
        </w:rPr>
        <w:t xml:space="preserve">4 — What it does not give, and this list is the honest half</w:t>
      </w:r>
    </w:p>
    <w:p>
      <w:pPr>
        <w:spacing w:after="165" w:line="280"/>
      </w:pPr>
      <w:r>
        <w:rPr>
          <w:rFonts w:ascii="Atkinson Hyperlegible" w:cs="Atkinson Hyperlegible" w:eastAsia="Atkinson Hyperlegible" w:hAnsi="Atkinson Hyperlegible"/>
          <w:b/>
          <w:bCs/>
          <w:i w:val="false"/>
          <w:iCs w:val="false"/>
          <w:sz w:val="22"/>
          <w:szCs w:val="22"/>
        </w:rPr>
        <w:t xml:space="preserve">No coupling.</w:t>
      </w:r>
      <w:r>
        <w:rPr>
          <w:rFonts w:ascii="Atkinson Hyperlegible" w:cs="Atkinson Hyperlegible" w:eastAsia="Atkinson Hyperlegible" w:hAnsi="Atkinson Hyperlegible"/>
          <w:b w:val="false"/>
          <w:bCs w:val="false"/>
          <w:i w:val="false"/>
          <w:iCs w:val="false"/>
          <w:sz w:val="22"/>
          <w:szCs w:val="22"/>
        </w:rPr>
        <w:t xml:space="preserve"> Every quantity above is a support, a count or a share. The coupling enters as a symbol and leaves as a symbol. Road Fourteen's no-go says why, and nothing here evades it.</w:t>
      </w:r>
    </w:p>
    <w:p>
      <w:pPr>
        <w:spacing w:after="165" w:line="280"/>
      </w:pPr>
      <w:r>
        <w:rPr>
          <w:rFonts w:ascii="Atkinson Hyperlegible" w:cs="Atkinson Hyperlegible" w:eastAsia="Atkinson Hyperlegible" w:hAnsi="Atkinson Hyperlegible"/>
          <w:b/>
          <w:bCs/>
          <w:i w:val="false"/>
          <w:iCs w:val="false"/>
          <w:sz w:val="22"/>
          <w:szCs w:val="22"/>
        </w:rPr>
        <w:t xml:space="preserve">No extent.</w:t>
      </w:r>
      <w:r>
        <w:rPr>
          <w:rFonts w:ascii="Atkinson Hyperlegible" w:cs="Atkinson Hyperlegible" w:eastAsia="Atkinson Hyperlegible" w:hAnsi="Atkinson Hyperlegible"/>
          <w:b w:val="false"/>
          <w:bCs w:val="false"/>
          <w:i w:val="false"/>
          <w:iCs w:val="false"/>
          <w:sz w:val="22"/>
          <w:szCs w:val="22"/>
        </w:rPr>
        <w:t xml:space="preserve"> The denominator of the share is whatever the configuration's own scaffold is. The ripple does not produce it and does not know it.</w:t>
      </w:r>
    </w:p>
    <w:p>
      <w:pPr>
        <w:spacing w:after="165" w:line="280"/>
      </w:pPr>
      <w:r>
        <w:rPr>
          <w:rFonts w:ascii="Atkinson Hyperlegible" w:cs="Atkinson Hyperlegible" w:eastAsia="Atkinson Hyperlegible" w:hAnsi="Atkinson Hyperlegible"/>
          <w:b/>
          <w:bCs/>
          <w:i w:val="false"/>
          <w:iCs w:val="false"/>
          <w:sz w:val="22"/>
          <w:szCs w:val="22"/>
        </w:rPr>
        <w:t xml:space="preserve">No first-order term.</w:t>
      </w:r>
      <w:r>
        <w:rPr>
          <w:rFonts w:ascii="Atkinson Hyperlegible" w:cs="Atkinson Hyperlegible" w:eastAsia="Atkinson Hyperlegible" w:hAnsi="Atkinson Hyperlegible"/>
          <w:b w:val="false"/>
          <w:bCs w:val="false"/>
          <w:i w:val="false"/>
          <w:iCs w:val="false"/>
          <w:sz w:val="22"/>
          <w:szCs w:val="22"/>
        </w:rPr>
        <w:t xml:space="preserve"> The construction prices re-establishment. What the first hold costs before any re-establishment is not derived here.</w:t>
      </w:r>
    </w:p>
    <w:p>
      <w:pPr>
        <w:spacing w:after="165" w:line="280"/>
      </w:pPr>
      <w:r>
        <w:rPr>
          <w:rFonts w:ascii="Atkinson Hyperlegible" w:cs="Atkinson Hyperlegible" w:eastAsia="Atkinson Hyperlegible" w:hAnsi="Atkinson Hyperlegible"/>
          <w:b/>
          <w:bCs/>
          <w:i w:val="false"/>
          <w:iCs w:val="false"/>
          <w:sz w:val="22"/>
          <w:szCs w:val="22"/>
        </w:rPr>
        <w:t xml:space="preserve">No escape support.</w:t>
      </w:r>
      <w:r>
        <w:rPr>
          <w:rFonts w:ascii="Atkinson Hyperlegible" w:cs="Atkinson Hyperlegible" w:eastAsia="Atkinson Hyperlegible" w:hAnsi="Atkinson Hyperlegible"/>
          <w:b w:val="false"/>
          <w:bCs w:val="false"/>
          <w:i w:val="false"/>
          <w:iCs w:val="false"/>
          <w:sz w:val="22"/>
          <w:szCs w:val="22"/>
        </w:rPr>
        <w:t xml:space="preserve"> R8 says the escape support and the re-establishment support differ; it does not say what the escape support is for any particular configuration. That comes from the configuration's channel count, which is the corpus's and not the ripple's.</w:t>
      </w:r>
    </w:p>
    <w:p>
      <w:pPr>
        <w:spacing w:after="165" w:line="280"/>
      </w:pPr>
      <w:r>
        <w:rPr>
          <w:rFonts w:ascii="Atkinson Hyperlegible" w:cs="Atkinson Hyperlegible" w:eastAsia="Atkinson Hyperlegible" w:hAnsi="Atkinson Hyperlegible"/>
          <w:b/>
          <w:bCs/>
          <w:i w:val="false"/>
          <w:iCs w:val="false"/>
          <w:sz w:val="22"/>
          <w:szCs w:val="22"/>
        </w:rPr>
        <w:t xml:space="preserve">No settlement of the solid-angle ambiguity.</w:t>
      </w:r>
      <w:r>
        <w:rPr>
          <w:rFonts w:ascii="Atkinson Hyperlegible" w:cs="Atkinson Hyperlegible" w:eastAsia="Atkinson Hyperlegible" w:hAnsi="Atkinson Hyperlegible"/>
          <w:b w:val="false"/>
          <w:bCs w:val="false"/>
          <w:i w:val="false"/>
          <w:iCs w:val="false"/>
          <w:sz w:val="22"/>
          <w:szCs w:val="22"/>
        </w:rPr>
        <w:t xml:space="preserve"> R8 commits, and the commitment may be wrong.</w:t>
      </w:r>
    </w:p>
    <w:p>
      <w:pPr>
        <w:pStyle w:val="Heading1"/>
        <w:spacing w:after="240" w:before="520"/>
      </w:pPr>
      <w:r>
        <w:rPr>
          <w:rFonts w:ascii="Atkinson Hyperlegible" w:cs="Atkinson Hyperlegible" w:eastAsia="Atkinson Hyperlegible" w:hAnsi="Atkinson Hyperlegible"/>
          <w:b/>
          <w:bCs/>
          <w:color w:val="000000"/>
          <w:sz w:val="30"/>
          <w:szCs w:val="30"/>
        </w:rPr>
        <w:t xml:space="preserve">5 — The freeze</w:t>
      </w:r>
    </w:p>
    <w:p>
      <w:pPr>
        <w:spacing w:after="165" w:line="280"/>
      </w:pPr>
      <w:r>
        <w:rPr>
          <w:rFonts w:ascii="Atkinson Hyperlegible" w:cs="Atkinson Hyperlegible" w:eastAsia="Atkinson Hyperlegible" w:hAnsi="Atkinson Hyperlegible"/>
          <w:b w:val="false"/>
          <w:bCs w:val="false"/>
          <w:i w:val="false"/>
          <w:iCs w:val="false"/>
          <w:sz w:val="22"/>
          <w:szCs w:val="22"/>
        </w:rPr>
        <w:t xml:space="preserve">This construction is complete as written. It contains no comparison. No number from either target row has been consulted while writing it, and the six forbidden quantities do not appear in it.</w:t>
      </w:r>
    </w:p>
    <w:p>
      <w:pPr>
        <w:spacing w:after="165" w:line="280"/>
      </w:pPr>
      <w:r>
        <w:rPr>
          <w:rFonts w:ascii="Atkinson Hyperlegible" w:cs="Atkinson Hyperlegible" w:eastAsia="Atkinson Hyperlegible" w:hAnsi="Atkinson Hyperlegible"/>
          <w:b w:val="false"/>
          <w:bCs w:val="false"/>
          <w:i w:val="false"/>
          <w:iCs w:val="false"/>
          <w:sz w:val="22"/>
          <w:szCs w:val="22"/>
        </w:rPr>
        <w:t xml:space="preserve">It is to be hashed and lodged before the comparison is run.</w:t>
      </w:r>
    </w:p>
    <w:p>
      <w:pPr>
        <w:pStyle w:val="Heading1"/>
        <w:spacing w:after="240" w:before="520"/>
      </w:pPr>
      <w:r>
        <w:rPr>
          <w:rFonts w:ascii="Atkinson Hyperlegible" w:cs="Atkinson Hyperlegible" w:eastAsia="Atkinson Hyperlegible" w:hAnsi="Atkinson Hyperlegible"/>
          <w:b/>
          <w:bCs/>
          <w:color w:val="000000"/>
          <w:sz w:val="30"/>
          <w:szCs w:val="30"/>
        </w:rPr>
        <w:t xml:space="preserve">6 — What the comparing desk is asked to do</w:t>
      </w:r>
    </w:p>
    <w:p>
      <w:pPr>
        <w:spacing w:after="165" w:line="280"/>
      </w:pPr>
      <w:r>
        <w:rPr>
          <w:rFonts w:ascii="Atkinson Hyperlegible" w:cs="Atkinson Hyperlegible" w:eastAsia="Atkinson Hyperlegible" w:hAnsi="Atkinson Hyperlegible"/>
          <w:b w:val="false"/>
          <w:bCs w:val="false"/>
          <w:i w:val="false"/>
          <w:iCs w:val="false"/>
          <w:sz w:val="22"/>
          <w:szCs w:val="22"/>
        </w:rPr>
        <w:t xml:space="preserve">Take R5, R6, R7 and R8 as they stand. For each, compute what the construction predicts and set it beside what AP30, AP47 and AP49 carry. Report each of the following separately, because they are different questions.</w:t>
      </w:r>
    </w:p>
    <w:p>
      <w:pPr>
        <w:spacing w:after="165" w:line="280"/>
        <w:ind w:left="500"/>
      </w:pPr>
      <w:r>
        <w:rPr>
          <w:rFonts w:ascii="Atkinson Hyperlegible" w:cs="Atkinson Hyperlegible" w:eastAsia="Atkinson Hyperlegible" w:hAnsi="Atkinson Hyperlegible"/>
          <w:b w:val="false"/>
          <w:bCs w:val="false"/>
          <w:i w:val="false"/>
          <w:iCs w:val="false"/>
          <w:sz w:val="22"/>
          <w:szCs w:val="22"/>
        </w:rPr>
        <w:t xml:space="preserve">Does the re-establishment support match the proton's second-order support?</w:t>
      </w:r>
    </w:p>
    <w:p>
      <w:pPr>
        <w:spacing w:after="165" w:line="280"/>
        <w:ind w:left="500"/>
      </w:pPr>
      <w:r>
        <w:rPr>
          <w:rFonts w:ascii="Atkinson Hyperlegible" w:cs="Atkinson Hyperlegible" w:eastAsia="Atkinson Hyperlegible" w:hAnsi="Atkinson Hyperlegible"/>
          <w:b w:val="false"/>
          <w:bCs w:val="false"/>
          <w:i w:val="false"/>
          <w:iCs w:val="false"/>
          <w:sz w:val="22"/>
          <w:szCs w:val="22"/>
        </w:rPr>
        <w:t xml:space="preserve">Does the binary-distinction support match the neutron's?</w:t>
      </w:r>
    </w:p>
    <w:p>
      <w:pPr>
        <w:spacing w:after="165" w:line="280"/>
        <w:ind w:left="500"/>
      </w:pPr>
      <w:r>
        <w:rPr>
          <w:rFonts w:ascii="Atkinson Hyperlegible" w:cs="Atkinson Hyperlegible" w:eastAsia="Atkinson Hyperlegible" w:hAnsi="Atkinson Hyperlegible"/>
          <w:b w:val="false"/>
          <w:bCs w:val="false"/>
          <w:i w:val="false"/>
          <w:iCs w:val="false"/>
          <w:sz w:val="22"/>
          <w:szCs w:val="22"/>
        </w:rPr>
        <w:t xml:space="preserve">Does the series form match AP49's chain, including which quantity sits in the denominator?</w:t>
      </w:r>
    </w:p>
    <w:p>
      <w:pPr>
        <w:spacing w:after="165" w:line="280"/>
        <w:ind w:left="500"/>
      </w:pPr>
      <w:r>
        <w:rPr>
          <w:rFonts w:ascii="Atkinson Hyperlegible" w:cs="Atkinson Hyperlegible" w:eastAsia="Atkinson Hyperlegible" w:hAnsi="Atkinson Hyperlegible"/>
          <w:b w:val="false"/>
          <w:bCs w:val="false"/>
          <w:i w:val="false"/>
          <w:iCs w:val="false"/>
          <w:sz w:val="22"/>
          <w:szCs w:val="22"/>
        </w:rPr>
        <w:t xml:space="preserve">Does the order of the first correction match, in both rows?</w:t>
      </w:r>
    </w:p>
    <w:p>
      <w:pPr>
        <w:spacing w:after="165" w:line="280"/>
        <w:ind w:left="500"/>
      </w:pPr>
      <w:r>
        <w:rPr>
          <w:rFonts w:ascii="Atkinson Hyperlegible" w:cs="Atkinson Hyperlegible" w:eastAsia="Atkinson Hyperlegible" w:hAnsi="Atkinson Hyperlegible"/>
          <w:b w:val="false"/>
          <w:bCs w:val="false"/>
          <w:i w:val="false"/>
          <w:iCs w:val="false"/>
          <w:sz w:val="22"/>
          <w:szCs w:val="22"/>
        </w:rPr>
        <w:t xml:space="preserve">Does R8's leakage factor match either row, and does R8's prediction that the escape support differs from the re-establishment support hold in both?</w:t>
      </w:r>
    </w:p>
    <w:p>
      <w:pPr>
        <w:spacing w:after="165" w:line="280"/>
      </w:pPr>
      <w:r>
        <w:rPr>
          <w:rFonts w:ascii="Atkinson Hyperlegible" w:cs="Atkinson Hyperlegible" w:eastAsia="Atkinson Hyperlegible" w:hAnsi="Atkinson Hyperlegible"/>
          <w:b/>
          <w:bCs/>
          <w:i w:val="false"/>
          <w:iCs w:val="false"/>
          <w:sz w:val="22"/>
          <w:szCs w:val="22"/>
        </w:rPr>
        <w:t xml:space="preserve">And the question that decides whether any match means anything.</w:t>
      </w:r>
      <w:r>
        <w:rPr>
          <w:rFonts w:ascii="Atkinson Hyperlegible" w:cs="Atkinson Hyperlegible" w:eastAsia="Atkinson Hyperlegible" w:hAnsi="Atkinson Hyperlegible"/>
          <w:b w:val="false"/>
          <w:bCs w:val="false"/>
          <w:i w:val="false"/>
          <w:iCs w:val="false"/>
          <w:sz w:val="22"/>
          <w:szCs w:val="22"/>
        </w:rPr>
        <w:t xml:space="preserve"> For every match found, look back at the step that produced it and ask whether the count could plausibly have been chosen because the answer was known. R5's fourth axis is the one to press hardest: a static census gives four times three, this construction gives four times four, and the argument for the fourth axis is that the re-establishment is an event in time. Judge that argument on its own, without the target in view. If it only looks compelling once the target is known, the construction is steered and should be reported as steered.</w:t>
      </w:r>
    </w:p>
    <w:p>
      <w:pPr>
        <w:spacing w:after="165" w:line="280"/>
      </w:pPr>
      <w:r>
        <w:rPr>
          <w:rFonts w:ascii="Atkinson Hyperlegible" w:cs="Atkinson Hyperlegible" w:eastAsia="Atkinson Hyperlegible" w:hAnsi="Atkinson Hyperlegible"/>
          <w:b w:val="false"/>
          <w:bCs w:val="false"/>
          <w:i w:val="false"/>
          <w:iCs w:val="false"/>
          <w:sz w:val="22"/>
          <w:szCs w:val="22"/>
        </w:rPr>
        <w:t xml:space="preserve">A miss is published as a miss. If R5, R6, R7 or R8 fails against its row, that is the answer, and Road Fourteen explains the picture and derives nothing — which AP54 §10 already says in advance is a possible and honest outcome.</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tkinson Hyperlegible" w:cs="Atkinson Hyperlegible" w:eastAsia="Atkinson Hyperlegible" w:hAnsi="Atkinson Hyperlegibl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Ripple Construction — 13 September 2026</dc:title>
  <dc:creator>Studio G</dc:creator>
  <dc:description>Road Fourteen's model, frozen before comparison</dc:description>
  <cp:lastModifiedBy>Un-named</cp:lastModifiedBy>
  <cp:revision>1</cp:revision>
  <dcterms:created xsi:type="dcterms:W3CDTF">2026-09-13T11:17:12.201Z</dcterms:created>
  <dcterms:modified xsi:type="dcterms:W3CDTF">2026-09-13T11:17:12.201Z</dcterms:modified>
</cp:coreProperties>
</file>

<file path=docProps/custom.xml><?xml version="1.0" encoding="utf-8"?>
<Properties xmlns="http://schemas.openxmlformats.org/officeDocument/2006/custom-properties" xmlns:vt="http://schemas.openxmlformats.org/officeDocument/2006/docPropsVTypes"/>
</file>