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after="720" w:before="0"/>
        <w:jc w:val="center"/>
      </w:pPr>
      <w:r>
        <w:drawing>
          <wp:inline xmlns:a="http://schemas.openxmlformats.org/drawingml/2006/main" xmlns:pic="http://schemas.openxmlformats.org/drawingml/2006/picture">
            <wp:extent cx="1828800" cy="1448296"/>
            <wp:docPr id="2" name="Picture 2"/>
            <wp:cNvGraphicFramePr>
              <a:graphicFrameLocks noChangeAspect="1"/>
            </wp:cNvGraphicFramePr>
            <a:graphic>
              <a:graphicData uri="http://schemas.openxmlformats.org/drawingml/2006/picture">
                <pic:pic>
                  <pic:nvPicPr>
                    <pic:cNvPr id="0" name="Eye_of_the_Universe.jpg"/>
                    <pic:cNvPicPr/>
                  </pic:nvPicPr>
                  <pic:blipFill>
                    <a:blip r:embed="rId9"/>
                    <a:stretch>
                      <a:fillRect/>
                    </a:stretch>
                  </pic:blipFill>
                  <pic:spPr>
                    <a:xfrm>
                      <a:off x="0" y="0"/>
                      <a:ext cx="1828800" cy="1448296"/>
                    </a:xfrm>
                    <a:prstGeom prst="rect"/>
                  </pic:spPr>
                </pic:pic>
              </a:graphicData>
            </a:graphic>
          </wp:inline>
        </w:drawing>
      </w:r>
    </w:p>
    <w:p>
      <w:pPr>
        <w:spacing w:after="240" w:before="0" w:line="300"/>
        <w:jc w:val="center"/>
      </w:pPr>
      <w:r>
        <w:rPr>
          <w:rFonts w:ascii="Atkinson Hyperlegible" w:cs="Atkinson Hyperlegible" w:eastAsia="Atkinson Hyperlegible" w:hAnsi="Atkinson Hyperlegible"/>
          <w:b/>
          <w:bCs/>
          <w:i w:val="false"/>
          <w:iCs w:val="false"/>
          <w:sz w:val="56"/>
          <w:szCs w:val="56"/>
        </w:rPr>
        <w:t xml:space="preserve">The Neck</w:t>
      </w:r>
    </w:p>
    <w:p>
      <w:pPr>
        <w:spacing w:after="120" w:before="0" w:line="300"/>
        <w:jc w:val="center"/>
      </w:pPr>
      <w:r>
        <w:rPr>
          <w:rFonts w:ascii="Atkinson Hyperlegible" w:cs="Atkinson Hyperlegible" w:eastAsia="Atkinson Hyperlegible" w:hAnsi="Atkinson Hyperlegible"/>
          <w:b w:val="false"/>
          <w:bCs w:val="false"/>
          <w:i w:val="false"/>
          <w:iCs w:val="false"/>
          <w:sz w:val="28"/>
          <w:szCs w:val="28"/>
        </w:rPr>
        <w:t xml:space="preserve">Artist’s Proof 50</w:t>
      </w:r>
    </w:p>
    <w:p>
      <w:pPr>
        <w:spacing w:after="120" w:before="0" w:line="300"/>
        <w:jc w:val="center"/>
      </w:pPr>
      <w:r>
        <w:rPr>
          <w:rFonts w:ascii="Atkinson Hyperlegible" w:cs="Atkinson Hyperlegible" w:eastAsia="Atkinson Hyperlegible" w:hAnsi="Atkinson Hyperlegible"/>
          <w:b w:val="false"/>
          <w:bCs w:val="false"/>
          <w:i w:val="false"/>
          <w:iCs w:val="false"/>
          <w:sz w:val="24"/>
          <w:szCs w:val="24"/>
        </w:rPr>
        <w:t xml:space="preserve">Notebook IV — Forces and Constants</w:t>
      </w:r>
    </w:p>
    <w:p>
      <w:pPr>
        <w:spacing w:after="600" w:before="0" w:line="300"/>
        <w:jc w:val="center"/>
      </w:pPr>
      <w:r>
        <w:rPr>
          <w:rFonts w:ascii="Atkinson Hyperlegible" w:cs="Atkinson Hyperlegible" w:eastAsia="Atkinson Hyperlegible" w:hAnsi="Atkinson Hyperlegible"/>
          <w:b w:val="false"/>
          <w:bCs w:val="false"/>
          <w:i/>
          <w:iCs/>
          <w:sz w:val="26"/>
          <w:szCs w:val="26"/>
        </w:rPr>
        <w:t xml:space="preserve">The forcing of the count</w:t>
      </w:r>
    </w:p>
    <w:p>
      <w:pPr>
        <w:spacing w:after="800" w:before="0" w:line="300"/>
        <w:jc w:val="center"/>
      </w:pPr>
      <w:r>
        <w:rPr>
          <w:rFonts w:ascii="Atkinson Hyperlegible" w:cs="Atkinson Hyperlegible" w:eastAsia="Atkinson Hyperlegible" w:hAnsi="Atkinson Hyperlegible"/>
          <w:b w:val="false"/>
          <w:bCs w:val="false"/>
          <w:i w:val="false"/>
          <w:iCs w:val="false"/>
          <w:sz w:val="22"/>
          <w:szCs w:val="22"/>
        </w:rPr>
        <w:t xml:space="preserve">The 420 Code — Studio G</w:t>
      </w:r>
    </w:p>
    <w:p>
      <w:r>
        <w:br w:type="page"/>
      </w:r>
    </w:p>
    <w:p>
      <w:pPr>
        <w:pStyle w:val="Heading1"/>
        <w:spacing w:after="240" w:before="480"/>
      </w:pPr>
      <w:r>
        <w:t xml:space="preserve">Contents</w:t>
      </w:r>
    </w:p>
    <w:p>
      <w:pPr>
        <w:spacing w:after="40" w:before="0" w:line="300"/>
      </w:pPr>
      <w:r>
        <w:rPr>
          <w:rFonts w:ascii="Atkinson Hyperlegible" w:cs="Atkinson Hyperlegible" w:eastAsia="Atkinson Hyperlegible" w:hAnsi="Atkinson Hyperlegible"/>
          <w:b/>
          <w:bCs/>
          <w:i w:val="false"/>
          <w:iCs w:val="false"/>
        </w:rPr>
        <w:t xml:space="preserve">0 — Dependency and Scope</w:t>
      </w:r>
    </w:p>
    <w:p>
      <w:pPr>
        <w:spacing w:after="40" w:before="0" w:line="300"/>
      </w:pPr>
      <w:r>
        <w:rPr>
          <w:rFonts w:ascii="Atkinson Hyperlegible" w:cs="Atkinson Hyperlegible" w:eastAsia="Atkinson Hyperlegible" w:hAnsi="Atkinson Hyperlegible"/>
          <w:b/>
          <w:bCs/>
          <w:i w:val="false"/>
          <w:iCs w:val="false"/>
        </w:rPr>
        <w:t xml:space="preserve">1 — The Hourglass</w:t>
      </w:r>
    </w:p>
    <w:p>
      <w:pPr>
        <w:spacing w:after="140" w:before="0" w:line="300"/>
        <w:ind w:left="400"/>
      </w:pPr>
      <w:r>
        <w:rPr>
          <w:rFonts w:ascii="Atkinson Hyperlegible" w:cs="Atkinson Hyperlegible" w:eastAsia="Atkinson Hyperlegible" w:hAnsi="Atkinson Hyperlegible"/>
          <w:b w:val="false"/>
          <w:bCs w:val="false"/>
          <w:i/>
          <w:iCs/>
        </w:rPr>
        <w:t xml:space="preserve">The picture, dated · in the corpus’s objects · Figure 1</w:t>
      </w:r>
    </w:p>
    <w:p>
      <w:pPr>
        <w:spacing w:after="40" w:before="0" w:line="300"/>
      </w:pPr>
      <w:r>
        <w:rPr>
          <w:rFonts w:ascii="Atkinson Hyperlegible" w:cs="Atkinson Hyperlegible" w:eastAsia="Atkinson Hyperlegible" w:hAnsi="Atkinson Hyperlegible"/>
          <w:b/>
          <w:bCs/>
          <w:i w:val="false"/>
          <w:iCs w:val="false"/>
        </w:rPr>
        <w:t xml:space="preserve">2 — The Neck Is a Ring</w:t>
      </w:r>
    </w:p>
    <w:p>
      <w:pPr>
        <w:spacing w:after="140" w:before="0" w:line="300"/>
        <w:ind w:left="400"/>
      </w:pPr>
      <w:r>
        <w:rPr>
          <w:rFonts w:ascii="Atkinson Hyperlegible" w:cs="Atkinson Hyperlegible" w:eastAsia="Atkinson Hyperlegible" w:hAnsi="Atkinson Hyperlegible"/>
          <w:b w:val="false"/>
          <w:bCs w:val="false"/>
          <w:i/>
          <w:iCs/>
        </w:rPr>
        <w:t xml:space="preserve">Not a puncture · the grain’s own aperture · one grain over its own disc · the record of the killing</w:t>
      </w:r>
    </w:p>
    <w:p>
      <w:pPr>
        <w:spacing w:after="40" w:before="0" w:line="300"/>
      </w:pPr>
      <w:r>
        <w:rPr>
          <w:rFonts w:ascii="Atkinson Hyperlegible" w:cs="Atkinson Hyperlegible" w:eastAsia="Atkinson Hyperlegible" w:hAnsi="Atkinson Hyperlegible"/>
          <w:b/>
          <w:bCs/>
          <w:i w:val="false"/>
          <w:iCs w:val="false"/>
        </w:rPr>
        <w:t xml:space="preserve">3 — The Six Readings, by Operation</w:t>
      </w:r>
    </w:p>
    <w:p>
      <w:pPr>
        <w:spacing w:after="140" w:before="0" w:line="300"/>
        <w:ind w:left="400"/>
      </w:pPr>
      <w:r>
        <w:rPr>
          <w:rFonts w:ascii="Atkinson Hyperlegible" w:cs="Atkinson Hyperlegible" w:eastAsia="Atkinson Hyperlegible" w:hAnsi="Atkinson Hyperlegible"/>
          <w:b w:val="false"/>
          <w:bCs w:val="false"/>
          <w:i/>
          <w:iCs/>
        </w:rPr>
        <w:t xml:space="preserve">Landed · the holding · the record of the hold · why one of the six has no unit</w:t>
      </w:r>
    </w:p>
    <w:p>
      <w:pPr>
        <w:spacing w:after="40" w:before="0" w:line="300"/>
      </w:pPr>
      <w:r>
        <w:rPr>
          <w:rFonts w:ascii="Atkinson Hyperlegible" w:cs="Atkinson Hyperlegible" w:eastAsia="Atkinson Hyperlegible" w:hAnsi="Atkinson Hyperlegible"/>
          <w:b/>
          <w:bCs/>
          <w:i w:val="false"/>
          <w:iCs w:val="false"/>
        </w:rPr>
        <w:t xml:space="preserve">4 — Eighteen Held, Three Written</w:t>
      </w:r>
    </w:p>
    <w:p>
      <w:pPr>
        <w:spacing w:after="140" w:before="0" w:line="300"/>
        <w:ind w:left="400"/>
      </w:pPr>
      <w:r>
        <w:rPr>
          <w:rFonts w:ascii="Atkinson Hyperlegible" w:cs="Atkinson Hyperlegible" w:eastAsia="Atkinson Hyperlegible" w:hAnsi="Atkinson Hyperlegible"/>
          <w:b w:val="false"/>
          <w:bCs w:val="false"/>
          <w:i/>
          <w:iCs/>
        </w:rPr>
        <w:t xml:space="preserve">Why three · why not four</w:t>
      </w:r>
    </w:p>
    <w:p>
      <w:pPr>
        <w:spacing w:after="40" w:before="0" w:line="300"/>
      </w:pPr>
      <w:r>
        <w:rPr>
          <w:rFonts w:ascii="Atkinson Hyperlegible" w:cs="Atkinson Hyperlegible" w:eastAsia="Atkinson Hyperlegible" w:hAnsi="Atkinson Hyperlegible"/>
          <w:b/>
          <w:bCs/>
          <w:i w:val="false"/>
          <w:iCs w:val="false"/>
        </w:rPr>
        <w:t xml:space="preserve">5 — The Gates</w:t>
      </w:r>
    </w:p>
    <w:p>
      <w:pPr>
        <w:spacing w:after="140" w:before="0" w:line="300"/>
        <w:ind w:left="400"/>
      </w:pPr>
      <w:r>
        <w:rPr>
          <w:rFonts w:ascii="Atkinson Hyperlegible" w:cs="Atkinson Hyperlegible" w:eastAsia="Atkinson Hyperlegible" w:hAnsi="Atkinson Hyperlegible"/>
          <w:b w:val="false"/>
          <w:bCs w:val="false"/>
          <w:i/>
          <w:iCs/>
        </w:rPr>
        <w:t xml:space="preserve">A completed exchange · a conjunction · independence · gravity’s two roles</w:t>
      </w:r>
    </w:p>
    <w:p>
      <w:pPr>
        <w:spacing w:after="40" w:before="0" w:line="300"/>
      </w:pPr>
      <w:r>
        <w:rPr>
          <w:rFonts w:ascii="Atkinson Hyperlegible" w:cs="Atkinson Hyperlegible" w:eastAsia="Atkinson Hyperlegible" w:hAnsi="Atkinson Hyperlegible"/>
          <w:b/>
          <w:bCs/>
          <w:i w:val="false"/>
          <w:iCs w:val="false"/>
        </w:rPr>
        <w:t xml:space="preserve">6 — The Commitment Is the Break Held</w:t>
      </w:r>
    </w:p>
    <w:p>
      <w:pPr>
        <w:spacing w:after="140" w:before="0" w:line="300"/>
        <w:ind w:left="400"/>
      </w:pPr>
      <w:r>
        <w:rPr>
          <w:rFonts w:ascii="Atkinson Hyperlegible" w:cs="Atkinson Hyperlegible" w:eastAsia="Atkinson Hyperlegible" w:hAnsi="Atkinson Hyperlegible"/>
          <w:b w:val="false"/>
          <w:bCs w:val="false"/>
          <w:i/>
          <w:iCs/>
        </w:rPr>
        <w:t xml:space="preserve">Read in α by rule</w:t>
      </w:r>
    </w:p>
    <w:p>
      <w:pPr>
        <w:spacing w:after="40" w:before="0" w:line="300"/>
      </w:pPr>
      <w:r>
        <w:rPr>
          <w:rFonts w:ascii="Atkinson Hyperlegible" w:cs="Atkinson Hyperlegible" w:eastAsia="Atkinson Hyperlegible" w:hAnsi="Atkinson Hyperlegible"/>
          <w:b/>
          <w:bCs/>
          <w:i w:val="false"/>
          <w:iCs w:val="false"/>
        </w:rPr>
        <w:t xml:space="preserve">7 — The Leak of the Leak</w:t>
      </w:r>
    </w:p>
    <w:p>
      <w:pPr>
        <w:spacing w:after="140" w:before="0" w:line="300"/>
        <w:ind w:left="400"/>
      </w:pPr>
      <w:r>
        <w:rPr>
          <w:rFonts w:ascii="Atkinson Hyperlegible" w:cs="Atkinson Hyperlegible" w:eastAsia="Atkinson Hyperlegible" w:hAnsi="Atkinson Hyperlegible"/>
          <w:b w:val="false"/>
          <w:bCs w:val="false"/>
          <w:i/>
          <w:iCs/>
        </w:rPr>
        <w:t xml:space="preserve">One chain, two bookings</w:t>
      </w:r>
    </w:p>
    <w:p>
      <w:pPr>
        <w:spacing w:after="40" w:before="0" w:line="300"/>
      </w:pPr>
      <w:r>
        <w:rPr>
          <w:rFonts w:ascii="Atkinson Hyperlegible" w:cs="Atkinson Hyperlegible" w:eastAsia="Atkinson Hyperlegible" w:hAnsi="Atkinson Hyperlegible"/>
          <w:b/>
          <w:bCs/>
          <w:i w:val="false"/>
          <w:iCs w:val="false"/>
        </w:rPr>
        <w:t xml:space="preserve">8 — One Grain Uncoupled, Always</w:t>
      </w:r>
    </w:p>
    <w:p>
      <w:pPr>
        <w:spacing w:after="140" w:before="0" w:line="300"/>
        <w:ind w:left="400"/>
      </w:pPr>
      <w:r>
        <w:rPr>
          <w:rFonts w:ascii="Atkinson Hyperlegible" w:cs="Atkinson Hyperlegible" w:eastAsia="Atkinson Hyperlegible" w:hAnsi="Atkinson Hyperlegible"/>
          <w:b w:val="false"/>
          <w:bCs w:val="false"/>
          <w:i/>
          <w:iCs/>
        </w:rPr>
        <w:t xml:space="preserve">Three factors, three things</w:t>
      </w:r>
    </w:p>
    <w:p>
      <w:pPr>
        <w:spacing w:after="40" w:before="0" w:line="300"/>
      </w:pPr>
      <w:r>
        <w:rPr>
          <w:rFonts w:ascii="Atkinson Hyperlegible" w:cs="Atkinson Hyperlegible" w:eastAsia="Atkinson Hyperlegible" w:hAnsi="Atkinson Hyperlegible"/>
          <w:b/>
          <w:bCs/>
          <w:i w:val="false"/>
          <w:iCs w:val="false"/>
        </w:rPr>
        <w:t xml:space="preserve">9 — The Least Element</w:t>
      </w:r>
    </w:p>
    <w:p>
      <w:pPr>
        <w:spacing w:after="140" w:before="0" w:line="300"/>
        <w:ind w:left="400"/>
      </w:pPr>
      <w:r>
        <w:rPr>
          <w:rFonts w:ascii="Atkinson Hyperlegible" w:cs="Atkinson Hyperlegible" w:eastAsia="Atkinson Hyperlegible" w:hAnsi="Atkinson Hyperlegible"/>
          <w:b w:val="false"/>
          <w:bCs w:val="false"/>
          <w:i/>
          <w:iCs/>
        </w:rPr>
        <w:t xml:space="preserve">The tip</w:t>
      </w:r>
    </w:p>
    <w:p>
      <w:pPr>
        <w:spacing w:after="40" w:before="0" w:line="300"/>
      </w:pPr>
      <w:r>
        <w:rPr>
          <w:rFonts w:ascii="Atkinson Hyperlegible" w:cs="Atkinson Hyperlegible" w:eastAsia="Atkinson Hyperlegible" w:hAnsi="Atkinson Hyperlegible"/>
          <w:b/>
          <w:bCs/>
          <w:i w:val="false"/>
          <w:iCs w:val="false"/>
        </w:rPr>
        <w:t xml:space="preserve">10 — Which α</w:t>
      </w:r>
    </w:p>
    <w:p>
      <w:pPr>
        <w:spacing w:after="40" w:before="0" w:line="300"/>
      </w:pPr>
      <w:r>
        <w:rPr>
          <w:rFonts w:ascii="Atkinson Hyperlegible" w:cs="Atkinson Hyperlegible" w:eastAsia="Atkinson Hyperlegible" w:hAnsi="Atkinson Hyperlegible"/>
          <w:b/>
          <w:bCs/>
          <w:i w:val="false"/>
          <w:iCs w:val="false"/>
        </w:rPr>
        <w:t xml:space="preserve">11 — In Plain Words</w:t>
      </w:r>
    </w:p>
    <w:p>
      <w:pPr>
        <w:spacing w:after="40" w:before="0" w:line="300"/>
      </w:pPr>
      <w:r>
        <w:rPr>
          <w:rFonts w:ascii="Atkinson Hyperlegible" w:cs="Atkinson Hyperlegible" w:eastAsia="Atkinson Hyperlegible" w:hAnsi="Atkinson Hyperlegible"/>
          <w:b/>
          <w:bCs/>
          <w:i w:val="false"/>
          <w:iCs w:val="false"/>
        </w:rPr>
        <w:t xml:space="preserve">12 — What This Paper Does Not Claim</w:t>
      </w:r>
    </w:p>
    <w:p>
      <w:pPr>
        <w:spacing w:after="40" w:before="0" w:line="300"/>
      </w:pPr>
      <w:r>
        <w:rPr>
          <w:rFonts w:ascii="Atkinson Hyperlegible" w:cs="Atkinson Hyperlegible" w:eastAsia="Atkinson Hyperlegible" w:hAnsi="Atkinson Hyperlegible"/>
          <w:b/>
          <w:bCs/>
          <w:i w:val="false"/>
          <w:iCs w:val="false"/>
        </w:rPr>
        <w:t xml:space="preserve">13 — Kill Switches</w:t>
      </w:r>
    </w:p>
    <w:p>
      <w:pPr>
        <w:spacing w:after="40" w:before="0" w:line="300"/>
      </w:pPr>
      <w:r>
        <w:rPr>
          <w:rFonts w:ascii="Atkinson Hyperlegible" w:cs="Atkinson Hyperlegible" w:eastAsia="Atkinson Hyperlegible" w:hAnsi="Atkinson Hyperlegible"/>
          <w:b/>
          <w:bCs/>
          <w:i w:val="false"/>
          <w:iCs w:val="false"/>
        </w:rPr>
        <w:t xml:space="preserve">14 — Dated Notes This Paper Triggers</w:t>
      </w:r>
    </w:p>
    <w:p>
      <w:pPr>
        <w:spacing w:after="40" w:before="0" w:line="300"/>
      </w:pPr>
      <w:r>
        <w:rPr>
          <w:rFonts w:ascii="Atkinson Hyperlegible" w:cs="Atkinson Hyperlegible" w:eastAsia="Atkinson Hyperlegible" w:hAnsi="Atkinson Hyperlegible"/>
          <w:b/>
          <w:bCs/>
          <w:i w:val="false"/>
          <w:iCs w:val="false"/>
        </w:rPr>
        <w:t xml:space="preserve">Claim Summary · Conditionality Footer</w:t>
      </w:r>
    </w:p>
    <w:p>
      <w:r>
        <w:br w:type="page"/>
      </w:r>
    </w:p>
    <w:p>
      <w:pPr>
        <w:pStyle w:val="Heading1"/>
        <w:spacing w:after="240" w:before="480"/>
      </w:pPr>
      <w:r>
        <w:t xml:space="preserve">Artist’s Note</w:t>
      </w:r>
    </w:p>
    <w:p>
      <w:pPr>
        <w:spacing w:after="160" w:before="0" w:line="300"/>
      </w:pPr>
      <w:r>
        <w:rPr>
          <w:rFonts w:ascii="Atkinson Hyperlegible" w:cs="Atkinson Hyperlegible" w:eastAsia="Atkinson Hyperlegible" w:hAnsi="Atkinson Hyperlegible"/>
        </w:rPr>
        <w:t xml:space="preserve">All possibilities must exist. Especially the possibility that you are wrong. I only get to write this sentence because I have been wrong many times — countless times.</w:t>
      </w:r>
    </w:p>
    <w:p>
      <w:pPr>
        <w:spacing w:after="160" w:before="0" w:line="300"/>
      </w:pPr>
      <w:r>
        <w:rPr>
          <w:rFonts w:ascii="Atkinson Hyperlegible" w:cs="Atkinson Hyperlegible" w:eastAsia="Atkinson Hyperlegible" w:hAnsi="Atkinson Hyperlegible"/>
        </w:rPr>
        <w:t xml:space="preserve">Being wrong hurts. And the more certain you are, the more being wrong hurts.</w:t>
      </w:r>
    </w:p>
    <w:p>
      <w:pPr>
        <w:spacing w:after="160" w:before="0" w:line="300"/>
      </w:pPr>
      <w:r>
        <w:rPr>
          <w:rFonts w:ascii="Atkinson Hyperlegible" w:cs="Atkinson Hyperlegible" w:eastAsia="Atkinson Hyperlegible" w:hAnsi="Atkinson Hyperlegible"/>
        </w:rPr>
        <w:t xml:space="preserve">I live with that dichotomy every day. I have absolute certainty in the first principle — one record exists — and I have proven to myself that, despite my absolute certainty, I could be wrong. That possibility very much exists.</w:t>
      </w:r>
    </w:p>
    <w:p>
      <w:pPr>
        <w:spacing w:after="160" w:before="0" w:line="300"/>
      </w:pPr>
      <w:r>
        <w:rPr>
          <w:rFonts w:ascii="Atkinson Hyperlegible" w:cs="Atkinson Hyperlegible" w:eastAsia="Atkinson Hyperlegible" w:hAnsi="Atkinson Hyperlegible"/>
        </w:rPr>
        <w:t xml:space="preserve">Ø Predictions was written to give to Professor Hendrik Geyer, a friend and colleague of my dad, as my flagship piece of physics writing. It listed the five numerical predictions The 420 Code was making, and the structure of the integers. My dad, however, did not want me to send him the book, because I would be wrong and that would be embarrassing. Me being me, that really pissed me off.</w:t>
      </w:r>
    </w:p>
    <w:p>
      <w:pPr>
        <w:spacing w:after="160" w:before="0" w:line="300"/>
      </w:pPr>
      <w:r>
        <w:rPr>
          <w:rFonts w:ascii="Atkinson Hyperlegible" w:cs="Atkinson Hyperlegible" w:eastAsia="Atkinson Hyperlegible" w:hAnsi="Atkinson Hyperlegible"/>
        </w:rPr>
        <w:t xml:space="preserve">It is now nine months later, and my dad was correct. I was wrong. Four of the five predictions have died — either fired by a kill switch, or corrected by adding a structural omission I had missed: the neutron, the gravitational constant, the proton, and MOND with them, each on the record in its own paper. And Ø Predictions is published, free, forever, at the420code.org — like every Artist’s Proof and the entire 420 Code — for as long as I can ensure it. So yes: he was right, nature is right, and I was wrong again. Fuck. But I don’t think I would have embarrassed us.</w:t>
      </w:r>
    </w:p>
    <w:p>
      <w:pPr>
        <w:spacing w:after="160" w:before="0" w:line="300"/>
      </w:pPr>
      <w:r>
        <w:rPr>
          <w:rFonts w:ascii="Atkinson Hyperlegible" w:cs="Atkinson Hyperlegible" w:eastAsia="Atkinson Hyperlegible" w:hAnsi="Atkinson Hyperlegible"/>
        </w:rPr>
        <w:t xml:space="preserve">But being wrong offers a unique and awesome possibility: to listen to, and look at, what reality is saying. Not what I want to hear or want to see. It is another opportunity to start, and try again.</w:t>
      </w:r>
    </w:p>
    <w:p>
      <w:pPr>
        <w:spacing w:after="160" w:before="0" w:line="300"/>
      </w:pPr>
      <w:r>
        <w:rPr>
          <w:rFonts w:ascii="Atkinson Hyperlegible" w:cs="Atkinson Hyperlegible" w:eastAsia="Atkinson Hyperlegible" w:hAnsi="Atkinson Hyperlegible"/>
        </w:rPr>
        <w:t xml:space="preserve">Being thrown on the judo mat can be scary, and it can hurt. But it doesn’t have to. Learn how to break-fall. And once you have been thrown enough, hopefully you will be able to block the throw.</w:t>
      </w:r>
    </w:p>
    <w:p>
      <w:pPr>
        <w:spacing w:after="160" w:before="0" w:line="300"/>
      </w:pPr>
      <w:r>
        <w:rPr>
          <w:rFonts w:ascii="Atkinson Hyperlegible" w:cs="Atkinson Hyperlegible" w:eastAsia="Atkinson Hyperlegible" w:hAnsi="Atkinson Hyperlegible"/>
        </w:rPr>
        <w:t xml:space="preserve">I am beginning to block the throws.</w:t>
      </w:r>
    </w:p>
    <w:p>
      <w:pPr>
        <w:spacing w:after="160" w:before="0" w:line="300"/>
      </w:pPr>
      <w:r>
        <w:rPr>
          <w:rFonts w:ascii="Atkinson Hyperlegible" w:cs="Atkinson Hyperlegible" w:eastAsia="Atkinson Hyperlegible" w:hAnsi="Atkinson Hyperlegible"/>
        </w:rPr>
        <w:t>This paper is a break-fall. Six readers threw AP28 and AP44, cleanly, on sentences I had written and never derived. The hourglass — which I wrote in December 2025 and published in January — is what I landed on. The paper moves no number. It says why the numbers are the shape they are, it names the places where I rule, and it names the one thing I do not derive.</w:t>
      </w:r>
    </w:p>
    <w:p>
      <w:pPr>
        <w:spacing w:after="160" w:before="0" w:line="300"/>
      </w:pPr>
      <w:r>
        <w:rPr>
          <w:rFonts w:ascii="Atkinson Hyperlegible" w:cs="Atkinson Hyperlegible" w:eastAsia="Atkinson Hyperlegible" w:hAnsi="Atkinson Hyperlegible"/>
        </w:rPr>
        <w:t xml:space="preserve">The description continues.</w:t>
      </w:r>
    </w:p>
    <w:p>
      <w:pPr>
        <w:spacing w:after="160" w:before="0" w:line="300"/>
      </w:pPr>
      <w:r>
        <w:rPr>
          <w:rFonts w:ascii="Atkinson Hyperlegible" w:cs="Atkinson Hyperlegible" w:eastAsia="Atkinson Hyperlegible" w:hAnsi="Atkinson Hyperlegible"/>
          <w:b w:val="false"/>
          <w:bCs w:val="false"/>
          <w:i/>
          <w:iCs/>
        </w:rPr>
        <w:t xml:space="preserve">the420code.org</w:t>
      </w:r>
    </w:p>
    <w:p>
      <w:pPr>
        <w:spacing w:after="160" w:before="0" w:line="300"/>
      </w:pPr>
      <w:r>
        <w:rPr>
          <w:rFonts w:ascii="Atkinson Hyperlegible" w:cs="Atkinson Hyperlegible" w:eastAsia="Atkinson Hyperlegible" w:hAnsi="Atkinson Hyperlegible"/>
          <w:b w:val="false"/>
          <w:bCs w:val="false"/>
          <w:i/>
          <w:iCs/>
        </w:rPr>
        <w:t xml:space="preserve">Copyleft 2026. Don’t be a cunt. Be kind.</w:t>
      </w:r>
    </w:p>
    <w:p>
      <w:r>
        <w:br w:type="page"/>
      </w:r>
    </w:p>
    <w:p>
      <w:pPr>
        <w:pStyle w:val="Heading1"/>
        <w:spacing w:after="240" w:before="480"/>
      </w:pPr>
      <w:r>
        <w:t xml:space="preserve">Orientation</w:t>
      </w:r>
    </w:p>
    <w:p>
      <w:pPr>
        <w:spacing w:after="160" w:before="0" w:line="300"/>
      </w:pPr>
      <w:r>
        <w:rPr>
          <w:rFonts w:ascii="Atkinson Hyperlegible" w:cs="Atkinson Hyperlegible" w:eastAsia="Atkinson Hyperlegible" w:hAnsi="Atkinson Hyperlegible"/>
        </w:rPr>
        <w:t xml:space="preserve">AP28 counted twenty-one channels. It compounded the coupling through them. AP44 priced the arena’s constitution. It divided by (1 + ε). Between them: the gravitational constant, to a third of a part in a thousand.</w:t>
      </w:r>
    </w:p>
    <w:p>
      <w:pPr>
        <w:spacing w:after="160" w:before="0" w:line="300"/>
      </w:pPr>
      <w:r>
        <w:rPr>
          <w:rFonts w:ascii="Atkinson Hyperlegible" w:cs="Atkinson Hyperlegible" w:eastAsia="Atkinson Hyperlegible" w:hAnsi="Atkinson Hyperlegible"/>
        </w:rPr>
        <w:t xml:space="preserve">Both papers also asserted things they had not derived. That independent channels multiply “as a mathematical fact”. That the puncture is a circle weighted 1/π, “supported by the 0.69%”. That the now couples to space exactly three times. That the ε in the quotient is α by selection. That a strictly ordered set has a least element. Six cold readers found each of those sentences in the first week of September 2026. They were right. Those six are the AP28 + AP44 attack round. The seven reviews named in the provenance are a later round, of this paper’s own first draft.</w:t>
      </w:r>
    </w:p>
    <w:p>
      <w:pPr>
        <w:spacing w:after="160" w:before="0" w:line="300"/>
      </w:pPr>
      <w:r>
        <w:rPr>
          <w:rFonts w:ascii="Atkinson Hyperlegible" w:cs="Atkinson Hyperlegible" w:eastAsia="Atkinson Hyperlegible" w:hAnsi="Atkinson Hyperlegible"/>
        </w:rPr>
        <w:t>This paper pays those debts from one picture: the hourglass. The picture is not new. The author wrote it in December 2025 and published it the next month — The Keys, Edition 01, Book 1, at the420code.org, where the Internet Archive holds it. There the neck already “allows only one grain at a time” and “is the Now”. He gave the picture to the desk on 8 September 2026. It was read back into the corpus’s objects, row by row.</w:t>
      </w:r>
    </w:p>
    <w:p>
      <w:pPr>
        <w:spacing w:after="160" w:before="0" w:line="300"/>
      </w:pPr>
      <w:r>
        <w:rPr>
          <w:rFonts w:ascii="Atkinson Hyperlegible" w:cs="Atkinson Hyperlegible" w:eastAsia="Atkinson Hyperlegible" w:hAnsi="Atkinson Hyperlegible"/>
        </w:rPr>
        <w:t xml:space="preserve">Where the picture forces a thing, this paper says so. Where the author settles a thing by ruling, it says that. Where it can do neither, it says that too. It touches no number. What changes is why.</w:t>
      </w:r>
    </w:p>
    <w:p>
      <w:pPr>
        <w:spacing w:after="160" w:before="0" w:line="300"/>
      </w:pPr>
      <w:r>
        <w:rPr>
          <w:rFonts w:ascii="Atkinson Hyperlegible" w:cs="Atkinson Hyperlegible" w:eastAsia="Atkinson Hyperlegible" w:hAnsi="Atkinson Hyperlegible"/>
          <w:b/>
          <w:bCs/>
          <w:i w:val="false"/>
          <w:iCs w:val="false"/>
        </w:rPr>
        <w:t xml:space="preserve">Notation. </w:t>
      </w:r>
      <w:r>
        <w:rPr>
          <w:rFonts w:ascii="Atkinson Hyperlegible" w:cs="Atkinson Hyperlegible" w:eastAsia="Atkinson Hyperlegible" w:hAnsi="Atkinson Hyperlegible"/>
          <w:b w:val="false"/>
          <w:bCs w:val="false"/>
          <w:i w:val="false"/>
          <w:iCs w:val="false"/>
        </w:rPr>
        <w:t xml:space="preserve">α is the fine-structure constant at zero momentum transfer (§10). ε is the break, the grain. At the Lock’s reading it is the electron. α_G is AP28’s provisioned coupling, α²¹(1 + 1/π). α_G∗ is the realised one, α_G/(1 + α). r = 16α/1836 is AP49’s ratio. The neck, the gate, the grain, the landscape, the now, landed and the holding are defined at §0.9.</w:t>
      </w:r>
    </w:p>
    <w:p>
      <w:r>
        <w:br w:type="page"/>
      </w:r>
    </w:p>
    <w:p>
      <w:pPr>
        <w:pStyle w:val="Heading1"/>
        <w:spacing w:after="240" w:before="480"/>
      </w:pPr>
      <w:r>
        <w:t xml:space="preserve">0 — Dependency and Scope</w:t>
      </w:r>
    </w:p>
    <w:p>
      <w:pPr>
        <w:pStyle w:val="Heading2"/>
        <w:spacing w:after="160" w:before="320"/>
      </w:pPr>
      <w:r>
        <w:t xml:space="preserve">0.1 — What this paper does</w:t>
      </w:r>
    </w:p>
    <w:p>
      <w:pPr>
        <w:spacing w:after="160" w:before="0" w:line="300"/>
      </w:pPr>
      <w:r>
        <w:rPr>
          <w:rFonts w:ascii="Atkinson Hyperlegible" w:cs="Atkinson Hyperlegible" w:eastAsia="Atkinson Hyperlegible" w:hAnsi="Atkinson Hyperlegible"/>
        </w:rPr>
        <w:t xml:space="preserve">It derives, from the hourglass, nine things. The neck is not a puncture through the actualised side. So the sphere argument never reached it. The neck is the grain’s own aperture. So the unpaired element’s weight is one grain over its own disc: 1/π (§2). Which reading of ε applies is fixed by what the grain is doing (§3). The record holds eighteen. The writing needs three. Not four (§4). The twenty-one are a conjunction at the neck. A gate is a completed exchange, worth α and not a single vertex. The product needs an independence the paper claims and fences (§5). The commitment is the break held. It is read in α by rule (§6). The leak of the leak closes as a quotient under either of two bookings. A returned leak multiplies (§7). One grain is uncoupled at every now. The two factors of the realised coupling read two states (§8). The record’s order is total and well-founded, because the hourglass tipped once (§9). The corpus’s α is α(0) (§10).</w:t>
      </w:r>
    </w:p>
    <w:p>
      <w:pPr>
        <w:spacing w:after="160" w:before="0" w:line="300"/>
      </w:pPr>
      <w:r>
        <w:rPr>
          <w:rFonts w:ascii="Atkinson Hyperlegible" w:cs="Atkinson Hyperlegible" w:eastAsia="Atkinson Hyperlegible" w:hAnsi="Atkinson Hyperlegible"/>
        </w:rPr>
        <w:t xml:space="preserve">It rules, on the author’s word, and says so at each place: the ring; the grain’s own aperture; the radius as the unit; the sorting of the six; the completed exchange; the commitment as the act of holding; the arena’s leak as a share of what it holds; the bound of §8. It states one identification: the per-gate worth α. It changes no number.</w:t>
      </w:r>
    </w:p>
    <w:p>
      <w:pPr>
        <w:pStyle w:val="Heading2"/>
        <w:spacing w:after="160" w:before="320"/>
      </w:pPr>
      <w:r>
        <w:t xml:space="preserve">0.2 — Dependencies</w:t>
      </w:r>
    </w:p>
    <w:p>
      <w:pPr>
        <w:spacing w:after="160" w:before="0" w:line="300"/>
      </w:pPr>
      <w:r>
        <w:rPr>
          <w:rFonts w:ascii="Atkinson Hyperlegible" w:cs="Atkinson Hyperlegible" w:eastAsia="Atkinson Hyperlegible" w:hAnsi="Atkinson Hyperlegible"/>
        </w:rPr>
        <w:t>AP28 (The Constant) — the count, the compounding, the puncture. AP44 (The Snap) — the commitment, the quotient, the two readings. AP24 (The Residual) — the six faces of ε. AP06 (The Leakage Constant) — ε = α as Notebook IV’s one measured input; §0.7’s domain readings. AP10 (The Dimension) — the four axioms as the four faces of the manifold; R as time; the 1:1 as the probability dimension (§7). AP20 (The Proof) — R as a monoid; the independence of the axioms. AP01 — the now. AP25 — record-weighted selection. AP48 §1 — the ropes: eighteen hold, three guide (verified against AP48 v1.1, SHA-256 a7d068dd…). AP47 §5 — the retirement of the dimensions-as-conditions identification (verified against AP47 FINAL v3, SHA-256 070b0d81…). AP24 §5, Face 5 — the material face as the substrate’s stiffnesses (verified against AP24 v2, SHA-256 1acc46eb…). AP30 and AP49 — the proton as the landed instance and its holders; “a returned leak is not an expression”. The ruling of 7 September 2026 on the AS (the Actualization State) as the reading surface. The Keys, Edition 01, Book 1 — The Hourglass. Published by the author at the420code.org and held by the Internet Archive: the site’s own page linking to the file captured 18 January 2026, the file’s bytes captured 20 January 2026. That capture is the external date, and it is not the author’s to supply. The working copy given to the desk on 9 September 2026 is cited by digest, SHA-256 b3b24316…; both digests go in the freeze bundle at lock. The author wrote the book in December 2025. That is his word beside the record, stated as his word and never as a file (D83). The author’s rulings of 8 September 2026, quoted where used.</w:t>
      </w:r>
    </w:p>
    <w:p>
      <w:pPr>
        <w:pStyle w:val="Heading2"/>
        <w:spacing w:after="160" w:before="320"/>
      </w:pPr>
      <w:r>
        <w:t xml:space="preserve">0.3 — What is claimed and what is refused</w:t>
      </w:r>
    </w:p>
    <w:p>
      <w:pPr>
        <w:spacing w:after="160" w:before="0" w:line="300"/>
      </w:pPr>
      <w:r>
        <w:rPr>
          <w:rFonts w:ascii="Atkinson Hyperlegible" w:cs="Atkinson Hyperlegible" w:eastAsia="Atkinson Hyperlegible" w:hAnsi="Atkinson Hyperlegible"/>
          <w:b/>
          <w:bCs/>
          <w:i w:val="false"/>
          <w:iCs w:val="false"/>
        </w:rPr>
        <w:t xml:space="preserve">Claimed. </w:t>
      </w:r>
      <w:r>
        <w:rPr>
          <w:rFonts w:ascii="Atkinson Hyperlegible" w:cs="Atkinson Hyperlegible" w:eastAsia="Atkinson Hyperlegible" w:hAnsi="Atkinson Hyperlegible"/>
          <w:b w:val="false"/>
          <w:bCs w:val="false"/>
          <w:i w:val="false"/>
          <w:iCs w:val="false"/>
        </w:rPr>
        <w:t xml:space="preserve">The results of §0.1, each at the status §0.5 gives it. That the picture forces what it forces. That the picture is the corpus’s: §1 shows every element of it is an axiom’s object.</w:t>
      </w:r>
    </w:p>
    <w:p>
      <w:pPr>
        <w:spacing w:after="160" w:before="0" w:line="300"/>
      </w:pPr>
      <w:r>
        <w:rPr>
          <w:rFonts w:ascii="Atkinson Hyperlegible" w:cs="Atkinson Hyperlegible" w:eastAsia="Atkinson Hyperlegible" w:hAnsi="Atkinson Hyperlegible"/>
          <w:b/>
          <w:bCs/>
          <w:i w:val="false"/>
          <w:iCs w:val="false"/>
        </w:rPr>
        <w:t xml:space="preserve">Refused. </w:t>
      </w:r>
      <w:r>
        <w:rPr>
          <w:rFonts w:ascii="Atkinson Hyperlegible" w:cs="Atkinson Hyperlegible" w:eastAsia="Atkinson Hyperlegible" w:hAnsi="Atkinson Hyperlegible"/>
          <w:b w:val="false"/>
          <w:bCs w:val="false"/>
          <w:i w:val="false"/>
          <w:iCs w:val="false"/>
        </w:rPr>
        <w:t xml:space="preserve">The value of α. It is not derived, and the corpus says so. The value of G beyond AP28 and AP44. Any running of α (§10). Any answer to D-EM.1. The tubes. “At the neck α:G = 1:1” as a number (§12). Any selection of the O(1) factor against measured G. The paper never consults the residual as a source. It consults it once, as record, in §2, with the order disclosed. The enumeration of the factor’s simple neighbours runs mechanically beside the paper. It returns whatever it returns.</w:t>
      </w:r>
    </w:p>
    <w:p>
      <w:pPr>
        <w:pStyle w:val="Heading2"/>
        <w:spacing w:after="160" w:before="320"/>
      </w:pPr>
      <w:r>
        <w:t xml:space="preserve">0.4 — Honesty box</w:t>
      </w:r>
    </w:p>
    <w:p>
      <w:pPr>
        <w:spacing w:after="160" w:before="0" w:line="300"/>
      </w:pPr>
      <w:r>
        <w:rPr>
          <w:rFonts w:ascii="Atkinson Hyperlegible" w:cs="Atkinson Hyperlegible" w:eastAsia="Atkinson Hyperlegible" w:hAnsi="Atkinson Hyperlegible"/>
        </w:rPr>
        <w:t xml:space="preserve">What is forced here is forced by the picture. The author gave it. The desk read it back, row by row. Every row was confirmed. What the picture settles only by ruling is marked RULED, and his words are quoted. What it cannot force is said as such.</w:t>
      </w:r>
    </w:p>
    <w:p>
      <w:pPr>
        <w:spacing w:after="160" w:before="0" w:line="300"/>
      </w:pPr>
      <w:r>
        <w:rPr>
          <w:rFonts w:ascii="Atkinson Hyperlegible" w:cs="Atkinson Hyperlegible" w:eastAsia="Atkinson Hyperlegible" w:hAnsi="Atkinson Hyperlegible"/>
        </w:rPr>
        <w:t xml:space="preserve">The paper leans on these. The per-gate worth α is an identification (§5). The author’s reason for it — a gate is a completed exchange — is given as his. One coupling per independent face is the same rule for the three as for the eighteen (§4). The ring, the grain’s own aperture and the radius as the unit are ruled (§2). The bound of §8 is ruled and fenced.</w:t>
      </w:r>
    </w:p>
    <w:p>
      <w:pPr>
        <w:spacing w:after="160" w:before="0" w:line="300"/>
      </w:pPr>
      <w:r>
        <w:rPr>
          <w:rFonts w:ascii="Atkinson Hyperlegible" w:cs="Atkinson Hyperlegible" w:eastAsia="Atkinson Hyperlegible" w:hAnsi="Atkinson Hyperlegible"/>
        </w:rPr>
        <w:t>The paper was written after the O(1) factor’s residual was known. It does not use it. One table contains it: the elimination of the aperture’s other readings, §2. That table enters after the ruling it confirms. It enters as record, never as source. The order of events is disclosed (KS-CCC.1). The picture itself — one grain at a time, the neck as the now, the one-way flow — was published eight months before every objection this paper answers, and the Internet Archive holds the published file. The rulings that read the picture into the count are dated 8 September 2026. They follow the objections. They are marked as rulings where they are used.</w:t>
      </w:r>
    </w:p>
    <w:p>
      <w:pPr>
        <w:pStyle w:val="Heading2"/>
        <w:spacing w:after="160" w:before="320"/>
      </w:pPr>
      <w:r>
        <w:t xml:space="preserve">0.5 — Epistemic status per section</w:t>
      </w:r>
    </w:p>
    <w:tbl>
      <w:tblPr>
        <w:tblW w:type="dxa" w:w="9072"/>
        <w:tblBorders>
          <w:top w:val="single" w:color="999999" w:sz="4"/>
          <w:left w:val="single" w:color="999999" w:sz="4"/>
          <w:bottom w:val="single" w:color="999999" w:sz="4"/>
          <w:right w:val="single" w:color="999999" w:sz="4"/>
          <w:insideH w:val="single" w:color="BBBBBB" w:sz="4"/>
          <w:insideV w:val="single" w:color="BBBBBB" w:sz="4"/>
        </w:tblBorders>
      </w:tblPr>
      <w:tblGrid>
        <w:gridCol w:w="700"/>
        <w:gridCol w:w="4900"/>
        <w:gridCol w:w="3472"/>
      </w:tblGrid>
      <w:tr>
        <w:trPr>
          <w:tblHeader/>
        </w:trPr>
        <w:tc>
          <w:tcPr>
            <w:tcW w:type="dxa" w:w="700"/>
            <w:shd w:fill="EDEDED" w:color="auto" w:val="clear"/>
            <w:tcMar>
              <w:top w:type="dxa" w:w="80"/>
              <w:left w:type="dxa" w:w="100"/>
              <w:bottom w:type="dxa" w:w="80"/>
              <w:right w:type="dxa" w:w="100"/>
            </w:tcMar>
          </w:tcPr>
          <w:p>
            <w:pPr>
              <w:spacing w:after="80" w:line="276"/>
            </w:pPr>
            <w:r>
              <w:rPr>
                <w:rFonts w:ascii="Atkinson Hyperlegible" w:cs="Atkinson Hyperlegible" w:eastAsia="Atkinson Hyperlegible" w:hAnsi="Atkinson Hyperlegible"/>
                <w:b/>
                <w:bCs/>
                <w:i w:val="false"/>
                <w:iCs w:val="false"/>
              </w:rPr>
              <w:t xml:space="preserve">§</w:t>
            </w:r>
          </w:p>
        </w:tc>
        <w:tc>
          <w:tcPr>
            <w:tcW w:type="dxa" w:w="4900"/>
            <w:shd w:fill="EDEDED" w:color="auto" w:val="clear"/>
            <w:tcMar>
              <w:top w:type="dxa" w:w="80"/>
              <w:left w:type="dxa" w:w="100"/>
              <w:bottom w:type="dxa" w:w="80"/>
              <w:right w:type="dxa" w:w="100"/>
            </w:tcMar>
          </w:tcPr>
          <w:p>
            <w:pPr>
              <w:spacing w:after="80" w:line="276"/>
            </w:pPr>
            <w:r>
              <w:rPr>
                <w:rFonts w:ascii="Atkinson Hyperlegible" w:cs="Atkinson Hyperlegible" w:eastAsia="Atkinson Hyperlegible" w:hAnsi="Atkinson Hyperlegible"/>
                <w:b/>
                <w:bCs/>
                <w:i w:val="false"/>
                <w:iCs w:val="false"/>
              </w:rPr>
              <w:t xml:space="preserve">Content</w:t>
            </w:r>
          </w:p>
        </w:tc>
        <w:tc>
          <w:tcPr>
            <w:tcW w:type="dxa" w:w="3472"/>
            <w:shd w:fill="EDEDED" w:color="auto" w:val="clear"/>
            <w:tcMar>
              <w:top w:type="dxa" w:w="80"/>
              <w:left w:type="dxa" w:w="100"/>
              <w:bottom w:type="dxa" w:w="80"/>
              <w:right w:type="dxa" w:w="100"/>
            </w:tcMar>
          </w:tcPr>
          <w:p>
            <w:pPr>
              <w:spacing w:after="80" w:line="276"/>
            </w:pPr>
            <w:r>
              <w:rPr>
                <w:rFonts w:ascii="Atkinson Hyperlegible" w:cs="Atkinson Hyperlegible" w:eastAsia="Atkinson Hyperlegible" w:hAnsi="Atkinson Hyperlegible"/>
                <w:b/>
                <w:bCs/>
                <w:i w:val="false"/>
                <w:iCs w:val="false"/>
              </w:rPr>
              <w:t xml:space="preserve">Status</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1</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picture</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THE AUTHOR’S, written December 2025, published January 2026; confirmed row by row 8 September 2026</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2</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Not a puncture; the ring; the grain’s own aperture; 1/π</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DERIVED (not a puncture; the form of the factor); RULED (the ring; through, not along; the neck as the grain’s own aperture; the radius as the unit); the value 1/π from the rulings; the elimination entered as record</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3</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Reading by operation; why one of the six has no unit</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RULED; the instance AP30/AP49; DERIVED (the dimensionless reading)</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4</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Eighteen held, three written; not four</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RULED; DERIVED</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5</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A completed exchange; the conjunction; independence; gravity’s two roles</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RULED; DERIVED (product over sum); IDENTIFIED (the worth α); STATED and fenced (independence)</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6</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commitment is the break held</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RULED; READ BY RULE, three instances</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7</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leak of the leak</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RULED (the booking); DERIVED (the forms)</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8</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One grain uncoupled, always; the bound</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RULED; DERIVED; RULED, fenced</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9</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least element</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RULED (the tip); DERIVED</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10</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Which α</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RULED; audit closed at source</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11–14</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Plain words; refusals; switches; dated notes</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w:t>
            </w:r>
          </w:p>
        </w:tc>
      </w:tr>
    </w:tbl>
    <w:p>
      <w:pPr>
        <w:pStyle w:val="Heading2"/>
        <w:spacing w:after="160" w:before="320"/>
      </w:pPr>
      <w:r>
        <w:t xml:space="preserve">0.6 — Kill-switch summary</w:t>
      </w:r>
    </w:p>
    <w:p>
      <w:pPr>
        <w:spacing w:after="160" w:before="0" w:line="300"/>
      </w:pPr>
      <w:r>
        <w:rPr>
          <w:rFonts w:ascii="Atkinson Hyperlegible" w:cs="Atkinson Hyperlegible" w:eastAsia="Atkinson Hyperlegible" w:hAnsi="Atkinson Hyperlegible"/>
        </w:rPr>
        <w:t>Armed at lock: KS-NECK.1 (the grain’s own aperture), KS-NECK.2 (reading by operation), KS-NECK.3 (the holding’s currency), KS-NECK.4 (the leak of the leak). Sharpened or paid by dated note at home: KS-R.8b, KS-R.8c, KS-R.8d, KS-R.9 (sub-debt PAID), KS-CCC.1, KS-CCC.6. Full text at §13.</w:t>
      </w:r>
    </w:p>
    <w:p>
      <w:pPr>
        <w:pStyle w:val="Heading2"/>
        <w:spacing w:after="160" w:before="320"/>
      </w:pPr>
      <w:r>
        <w:t xml:space="preserve">0.7 — Items held open without claiming debt status</w:t>
      </w:r>
    </w:p>
    <w:p>
      <w:pPr>
        <w:spacing w:after="160" w:before="0" w:line="300"/>
      </w:pPr>
      <w:r>
        <w:rPr>
          <w:rFonts w:ascii="Atkinson Hyperlegible" w:cs="Atkinson Hyperlegible" w:eastAsia="Atkinson Hyperlegible" w:hAnsi="Atkinson Hyperlegible"/>
        </w:rPr>
        <w:t xml:space="preserve">AP28’s face-to-axiom mapping. Proposition 1 reads G and t both to R. None of the landed four reads S. That is AP28’s and AP24’s to resolve. D-EM.1, unchanged. Its resolution would not move this paper’s structural claims. They stand on α as the grain’s coupling, not on its relation to the electromagnetic self-energy. The tubes. The mechanical enumeration of the O(1) factor’s neighbours. This paper is true whatever it returns. The author’s reading of “α:G = 1:1 at the neck” — his route to a separate paper.</w:t>
      </w:r>
    </w:p>
    <w:p>
      <w:pPr>
        <w:pStyle w:val="Heading2"/>
        <w:spacing w:after="160" w:before="320"/>
      </w:pPr>
      <w:r>
        <w:t xml:space="preserve">0.8 — Structural relationships</w:t>
      </w:r>
    </w:p>
    <w:p>
      <w:pPr>
        <w:spacing w:after="160" w:before="0" w:line="300"/>
      </w:pPr>
      <w:r>
        <w:rPr>
          <w:rFonts w:ascii="Atkinson Hyperlegible" w:cs="Atkinson Hyperlegible" w:eastAsia="Atkinson Hyperlegible" w:hAnsi="Atkinson Hyperlegible"/>
        </w:rPr>
        <w:t>Upstream: AP28, AP44, AP24, AP06, AP10, AP20, AP01, AP25, AP30, AP49. The Keys as the published picture. Downstream: the dated notes on AP28 and AP44 (§14). The Museum’s AP28 + AP44 entries. AP48 (the first moments, §1). AP45 and AP46 (the flow, §8). AP51 The Glass — the reader, the pupil, the relativity of reading. It is deferred to here in one sentence (§2). AP51 stands on this paper as upstream. In the gravitational leg: AP28 counted, AP44 priced, AP50 says why. AP49, in Notebook V, lends the chain.</w:t>
      </w:r>
    </w:p>
    <w:p>
      <w:pPr>
        <w:pStyle w:val="Heading2"/>
        <w:spacing w:after="160" w:before="320"/>
      </w:pPr>
      <w:r>
        <w:t xml:space="preserve">0.9 — Definitions</w:t>
      </w:r>
    </w:p>
    <w:p>
      <w:pPr>
        <w:spacing w:after="160" w:before="0" w:line="300"/>
      </w:pPr>
      <w:r>
        <w:rPr>
          <w:rFonts w:ascii="Atkinson Hyperlegible" w:cs="Atkinson Hyperlegible" w:eastAsia="Atkinson Hyperlegible" w:hAnsi="Atkinson Hyperlegible"/>
        </w:rPr>
        <w:t xml:space="preserve">The author’s, 8 September 2026, in his words where quoted.</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grain. </w:t>
      </w:r>
      <w:r>
        <w:rPr>
          <w:rFonts w:ascii="Atkinson Hyperlegible" w:cs="Atkinson Hyperlegible" w:eastAsia="Atkinson Hyperlegible" w:hAnsi="Atkinson Hyperlegible"/>
          <w:b w:val="false"/>
          <w:bCs w:val="false"/>
          <w:i w:val="false"/>
          <w:iCs w:val="false"/>
        </w:rPr>
        <w:t xml:space="preserve">The unit. “A minimal record.” “One measure of resistance, of mass — one grain of sand.” The smallest thing that can couple. The leakage constant. The electron, at the Lock’s reading. It has direction.</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potential side. </w:t>
      </w:r>
      <w:r>
        <w:rPr>
          <w:rFonts w:ascii="Atkinson Hyperlegible" w:cs="Atkinson Hyperlegible" w:eastAsia="Atkinson Hyperlegible" w:hAnsi="Atkinson Hyperlegible"/>
          <w:b w:val="false"/>
          <w:bCs w:val="false"/>
          <w:i w:val="false"/>
          <w:iCs w:val="false"/>
        </w:rPr>
        <w:t xml:space="preserve">“The quantum side — waves — potential — no collapse.” “The probability conditions for possible outcomes based on the record history until now.” Dark energy. AP10 §7’s probability dimension. In The Keys: the desert of Maybe.</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actualised side. </w:t>
      </w:r>
      <w:r>
        <w:rPr>
          <w:rFonts w:ascii="Atkinson Hyperlegible" w:cs="Atkinson Hyperlegible" w:eastAsia="Atkinson Hyperlegible" w:hAnsi="Atkinson Hyperlegible"/>
          <w:b w:val="false"/>
          <w:bCs w:val="false"/>
          <w:i w:val="false"/>
          <w:iCs w:val="false"/>
        </w:rPr>
        <w:t xml:space="preserve">The record history. The landscape the next grain lands on. In The Keys: Did.</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neck. </w:t>
      </w:r>
      <w:r>
        <w:rPr>
          <w:rFonts w:ascii="Atkinson Hyperlegible" w:cs="Atkinson Hyperlegible" w:eastAsia="Atkinson Hyperlegible" w:hAnsi="Atkinson Hyperlegible"/>
          <w:b w:val="false"/>
          <w:bCs w:val="false"/>
          <w:i w:val="false"/>
          <w:iCs w:val="false"/>
        </w:rPr>
        <w:t xml:space="preserve">“Where actualisation happens.” Not a hole the grain passes through. The grain’s own aperture — the grain read as the constraint (§2). The ring at which all twenty-one channels converge, “like a magnet where the north and south fields converge”. What the twenty-one compound to. Gravity in its second role (§5). In The Keys: “the only place where anything actually happens”.</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neck’s grain. </w:t>
      </w:r>
      <w:r>
        <w:rPr>
          <w:rFonts w:ascii="Atkinson Hyperlegible" w:cs="Atkinson Hyperlegible" w:eastAsia="Atkinson Hyperlegible" w:hAnsi="Atkinson Hyperlegible"/>
          <w:b w:val="false"/>
          <w:bCs w:val="false"/>
          <w:i w:val="false"/>
          <w:iCs w:val="false"/>
        </w:rPr>
        <w:t xml:space="preserve">“The coupling event being actualised.” The one grain uncoupled at this now. The +1×ε. Read at the neck’s measure.</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gate. </w:t>
      </w:r>
      <w:r>
        <w:rPr>
          <w:rFonts w:ascii="Atkinson Hyperlegible" w:cs="Atkinson Hyperlegible" w:eastAsia="Atkinson Hyperlegible" w:hAnsi="Atkinson Hyperlegible"/>
          <w:b w:val="false"/>
          <w:bCs w:val="false"/>
          <w:i w:val="false"/>
          <w:iCs w:val="false"/>
        </w:rPr>
        <w:t xml:space="preserve">One channel’s passage at the neck. A completed exchange: a writer and a reader, both grains, two vertices (§5).</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Landed. </w:t>
      </w:r>
      <w:r>
        <w:rPr>
          <w:rFonts w:ascii="Atkinson Hyperlegible" w:cs="Atkinson Hyperlegible" w:eastAsia="Atkinson Hyperlegible" w:hAnsi="Atkinson Hyperlegible"/>
          <w:b w:val="false"/>
          <w:bCs w:val="false"/>
          <w:i w:val="false"/>
          <w:iCs w:val="false"/>
        </w:rPr>
        <w:t xml:space="preserve">“The coupled record.” A grain held on the landscape. Read under the six constraints as mₑ, c, G and the material face (§3). The proton of AP30 is the instance.</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holding. </w:t>
      </w:r>
      <w:r>
        <w:rPr>
          <w:rFonts w:ascii="Atkinson Hyperlegible" w:cs="Atkinson Hyperlegible" w:eastAsia="Atkinson Hyperlegible" w:hAnsi="Atkinson Hyperlegible"/>
          <w:b w:val="false"/>
          <w:bCs w:val="false"/>
          <w:i w:val="false"/>
          <w:iCs w:val="false"/>
        </w:rPr>
        <w:t xml:space="preserve">The act. “A coupled record held over three dimensions is the hold — and the hold leaks.” “The act of coupling and holding of the coupling configuration based on the constraints of the constants.” Read in α. AP49’s holders are the instance.</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G. </w:t>
      </w:r>
      <w:r>
        <w:rPr>
          <w:rFonts w:ascii="Atkinson Hyperlegible" w:cs="Atkinson Hyperlegible" w:eastAsia="Atkinson Hyperlegible" w:hAnsi="Atkinson Hyperlegible"/>
          <w:b w:val="false"/>
          <w:bCs w:val="false"/>
          <w:i w:val="false"/>
          <w:iCs w:val="false"/>
        </w:rPr>
        <w:t xml:space="preserve">The reading of the landed grain as stabilised — one of the six constraints. Also “what holds the reading conditions in place”, “what keeps the hourglass intact”: the neck. Two roles, one object (§5).</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now. </w:t>
      </w:r>
      <w:r>
        <w:rPr>
          <w:rFonts w:ascii="Atkinson Hyperlegible" w:cs="Atkinson Hyperlegible" w:eastAsia="Atkinson Hyperlegible" w:hAnsi="Atkinson Hyperlegible"/>
          <w:b w:val="false"/>
          <w:bCs w:val="false"/>
          <w:i w:val="false"/>
          <w:iCs w:val="false"/>
        </w:rPr>
        <w:t xml:space="preserve">The Actualization State. Where records are written and read from. It never holds. It writes.</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Time. </w:t>
      </w:r>
      <w:r>
        <w:rPr>
          <w:rFonts w:ascii="Atkinson Hyperlegible" w:cs="Atkinson Hyperlegible" w:eastAsia="Atkinson Hyperlegible" w:hAnsi="Atkinson Hyperlegible"/>
          <w:b w:val="false"/>
          <w:bCs w:val="false"/>
          <w:i w:val="false"/>
          <w:iCs w:val="false"/>
        </w:rPr>
        <w:t xml:space="preserve">“The record of the hold and the record history’s measuring unit — a unit of relative measurement, record relative to other records.”</w:t>
      </w:r>
    </w:p>
    <w:p>
      <w:r>
        <w:br w:type="page"/>
      </w:r>
    </w:p>
    <w:p>
      <w:pPr>
        <w:pStyle w:val="Heading1"/>
        <w:spacing w:after="240" w:before="480"/>
      </w:pPr>
      <w:r>
        <w:t xml:space="preserve">1 — The Hourglass</w:t>
      </w:r>
    </w:p>
    <w:p>
      <w:pPr>
        <w:spacing w:after="160" w:before="0" w:line="300"/>
      </w:pPr>
      <w:r>
        <w:rPr>
          <w:rFonts w:ascii="Atkinson Hyperlegible" w:cs="Atkinson Hyperlegible" w:eastAsia="Atkinson Hyperlegible" w:hAnsi="Atkinson Hyperlegible"/>
          <w:b w:val="false"/>
          <w:bCs w:val="false"/>
          <w:i/>
          <w:iCs/>
        </w:rPr>
        <w:t xml:space="preserve">The whole paper is one picture read into the corpus. Here is the picture. Here is when it was drawn.</w:t>
      </w:r>
    </w:p>
    <w:p>
      <w:pPr>
        <w:spacing w:after="160" w:before="0" w:line="300"/>
      </w:pPr>
      <w:r>
        <w:rPr>
          <w:rFonts w:ascii="Atkinson Hyperlegible" w:cs="Atkinson Hyperlegible" w:eastAsia="Atkinson Hyperlegible" w:hAnsi="Atkinson Hyperlegible"/>
          <w:b/>
          <w:bCs/>
          <w:i w:val="false"/>
          <w:iCs w:val="false"/>
        </w:rPr>
        <w:t>The picture, dated. The author wrote The Keys in December 2025. He published it at the420code.org in January 2026. Book 1 is the hourglass.</w:t>
      </w:r>
      <w:r>
        <w:rPr>
          <w:rFonts w:ascii="Atkinson Hyperlegible" w:cs="Atkinson Hyperlegible" w:eastAsia="Atkinson Hyperlegible" w:hAnsi="Atkinson Hyperlegible"/>
          <w:b w:val="false"/>
          <w:bCs w:val="false"/>
          <w:i w:val="false"/>
          <w:iCs w:val="false"/>
        </w:rPr>
        <w:t xml:space="preserve"> It already contains the picture this paper stands on. “The neck allows only one grain at a time. This grain. Then that one. Not both. Not later. Now.” “The neck is the Now. It is the only place where anything actually happens.” “The flow only goes one way.” “The width of the neck never changes. The universe is processed one grain at a time. No exceptions.” And the Eye: the glass as “the primary condition of coherence”; the dark half that holds and the lit half that appears; “an eye that forms from inside the constraints”. The Internet Archive holds it. The page linking to the file was captured on 18 January 2026. The file’s own bytes were captured on 20 January 2026. That capture is a date a hostile reader can check without asking the author for anything. The December writing is the author’s word, stated as his word and not as a file (D83). Both the published file and the working copy are cited by digest (§0.2). It contains the picture: one grain at a time, the neck as the now, the one-way flow, the Eye. It does not contain the rulings that read the picture into the count. Those are the grain as the constraint, the gate as a completed exchange, the sorting, the booking. They are dated 8 September 2026. They follow the objections. They are marked as rulings where used. Eight months after the publication, after the AP28 + AP44 attack round, the author gave the picture to the desk. It was read back into the corpus’s objects, row by row. The picture was not made to answer the objections. The rulings were made after them, and say so.</w:t>
      </w:r>
    </w:p>
    <w:p>
      <w:pPr>
        <w:spacing w:after="160" w:before="0" w:line="300"/>
      </w:pPr>
      <w:r>
        <w:rPr>
          <w:rFonts w:ascii="Atkinson Hyperlegible" w:cs="Atkinson Hyperlegible" w:eastAsia="Atkinson Hyperlegible" w:hAnsi="Atkinson Hyperlegible"/>
          <w:b/>
          <w:bCs/>
          <w:i w:val="false"/>
          <w:iCs w:val="false"/>
        </w:rPr>
        <w:t xml:space="preserve">The picture, told. </w:t>
      </w:r>
      <w:r>
        <w:rPr>
          <w:rFonts w:ascii="Atkinson Hyperlegible" w:cs="Atkinson Hyperlegible" w:eastAsia="Atkinson Hyperlegible" w:hAnsi="Atkinson Hyperlegible"/>
          <w:b w:val="false"/>
          <w:bCs w:val="false"/>
          <w:i w:val="false"/>
          <w:iCs w:val="false"/>
        </w:rPr>
        <w:t xml:space="preserve">Two sides. The potential side: the quantum side. Waves. No collapse. The probability conditions for possible outcomes, given the record history until now. The actualised side: the record history. The landscape. Before any record there is pure potential. 0 and 1 face to face in perfect symmetry. Silent. A sliver breaks off. The hourglass tips. The tip points a direction as realisable potential. Up is first defined as the opposite of down. The first grain goes through the neck. It actualises the potential of direction. That is the first record. The second, third and fourth make further records possible. Then a record of records. Then the arrow of time. The more grains land, the more it tips. It nears balance in the visible. It stops short. A perfect 1:1 allows no record to be read or written. So the tip stabilises. The grains flow. The neck is the constraint every grain must pass. It holds the whole hourglass together. It is gravity: the ring at which all twenty-one channels converge with the now. A grain falls free. It never falls faster than one click a moment. Before the landscape can hold, it falls unbounded. The ropes must first pull tight (AP48). Where a grain lands depends on the landscape of previous grains. The grain is the leakage constant, read as the electron. It is the constraint itself and the constraint being read, by grains of sand. Glass is sand. The boundary and the grain are one thing in two configurations. The constants are the conditions for the reading. They are not the conditions for the record. Those are S, B, R and C. The grain has six readings. The now never holds. It writes. Once it tips, the grains cannot not fall. No single grain can block the neck. You cannot fall upward. The tip cannot un-record. And there is always one grain uncoupled. It is the one in the neck at this now. Otherwise perfect balance returns and the universe balances out. Always +1×ε.</w:t>
      </w:r>
    </w:p>
    <w:p>
      <w:pPr>
        <w:spacing w:after="160" w:before="0" w:line="300"/>
      </w:pPr>
      <w:r>
        <w:rPr>
          <w:rFonts w:ascii="Atkinson Hyperlegible" w:cs="Atkinson Hyperlegible" w:eastAsia="Atkinson Hyperlegible" w:hAnsi="Atkinson Hyperlegible"/>
          <w:b/>
          <w:bCs/>
          <w:i w:val="false"/>
          <w:iCs w:val="false"/>
        </w:rPr>
        <w:t xml:space="preserve">Not a fifth premise. </w:t>
      </w:r>
      <w:r>
        <w:rPr>
          <w:rFonts w:ascii="Atkinson Hyperlegible" w:cs="Atkinson Hyperlegible" w:eastAsia="Atkinson Hyperlegible" w:hAnsi="Atkinson Hyperlegible"/>
          <w:b w:val="false"/>
          <w:bCs w:val="false"/>
          <w:i w:val="false"/>
          <w:iCs w:val="false"/>
        </w:rPr>
        <w:t xml:space="preserve">Every element of the picture is an object the corpus already has. The table says which. The two sides are Axiom S’s pre-state and its break. The neck is Axiom R read at the now. The grain is Axiom B’s unpaired element. The click is Axiom C. The picture is the axiom told.</w:t>
      </w:r>
    </w:p>
    <w:tbl>
      <w:tblPr>
        <w:tblW w:type="dxa" w:w="9072"/>
        <w:tblBorders>
          <w:top w:val="single" w:color="999999" w:sz="4"/>
          <w:left w:val="single" w:color="999999" w:sz="4"/>
          <w:bottom w:val="single" w:color="999999" w:sz="4"/>
          <w:right w:val="single" w:color="999999" w:sz="4"/>
          <w:insideH w:val="single" w:color="BBBBBB" w:sz="4"/>
          <w:insideV w:val="single" w:color="BBBBBB" w:sz="4"/>
        </w:tblBorders>
      </w:tblPr>
      <w:tblGrid>
        <w:gridCol w:w="4300"/>
        <w:gridCol w:w="3572"/>
        <w:gridCol w:w="1200"/>
      </w:tblGrid>
      <w:tr>
        <w:trPr>
          <w:tblHeader/>
        </w:trPr>
        <w:tc>
          <w:tcPr>
            <w:tcW w:type="dxa" w:w="4300"/>
            <w:shd w:fill="EDEDED" w:color="auto" w:val="clear"/>
            <w:tcMar>
              <w:top w:type="dxa" w:w="80"/>
              <w:left w:type="dxa" w:w="100"/>
              <w:bottom w:type="dxa" w:w="80"/>
              <w:right w:type="dxa" w:w="100"/>
            </w:tcMar>
          </w:tcPr>
          <w:p>
            <w:pPr>
              <w:spacing w:after="80" w:line="276"/>
            </w:pPr>
            <w:r>
              <w:rPr>
                <w:rFonts w:ascii="Atkinson Hyperlegible" w:cs="Atkinson Hyperlegible" w:eastAsia="Atkinson Hyperlegible" w:hAnsi="Atkinson Hyperlegible"/>
                <w:b/>
                <w:bCs/>
                <w:i w:val="false"/>
                <w:iCs w:val="false"/>
              </w:rPr>
              <w:t xml:space="preserve">The author’s words</w:t>
            </w:r>
          </w:p>
        </w:tc>
        <w:tc>
          <w:tcPr>
            <w:tcW w:type="dxa" w:w="3572"/>
            <w:shd w:fill="EDEDED" w:color="auto" w:val="clear"/>
            <w:tcMar>
              <w:top w:type="dxa" w:w="80"/>
              <w:left w:type="dxa" w:w="100"/>
              <w:bottom w:type="dxa" w:w="80"/>
              <w:right w:type="dxa" w:w="100"/>
            </w:tcMar>
          </w:tcPr>
          <w:p>
            <w:pPr>
              <w:spacing w:after="80" w:line="276"/>
            </w:pPr>
            <w:r>
              <w:rPr>
                <w:rFonts w:ascii="Atkinson Hyperlegible" w:cs="Atkinson Hyperlegible" w:eastAsia="Atkinson Hyperlegible" w:hAnsi="Atkinson Hyperlegible"/>
                <w:b/>
                <w:bCs/>
                <w:i w:val="false"/>
                <w:iCs w:val="false"/>
              </w:rPr>
              <w:t xml:space="preserve">The corpus’s object</w:t>
            </w:r>
          </w:p>
        </w:tc>
        <w:tc>
          <w:tcPr>
            <w:tcW w:type="dxa" w:w="1200"/>
            <w:shd w:fill="EDEDED" w:color="auto" w:val="clear"/>
            <w:tcMar>
              <w:top w:type="dxa" w:w="80"/>
              <w:left w:type="dxa" w:w="100"/>
              <w:bottom w:type="dxa" w:w="80"/>
              <w:right w:type="dxa" w:w="100"/>
            </w:tcMar>
          </w:tcPr>
          <w:p>
            <w:pPr>
              <w:spacing w:after="80" w:line="276"/>
            </w:pPr>
            <w:r>
              <w:rPr>
                <w:rFonts w:ascii="Atkinson Hyperlegible" w:cs="Atkinson Hyperlegible" w:eastAsia="Atkinson Hyperlegible" w:hAnsi="Atkinson Hyperlegible"/>
                <w:b/>
                <w:bCs/>
                <w:i w:val="false"/>
                <w:iCs w:val="false"/>
              </w:rPr>
              <w:t xml:space="preserve">Axiom</w:t>
            </w:r>
          </w:p>
        </w:tc>
      </w:tr>
      <w:tr>
        <w:tc>
          <w:tcPr>
            <w:tcW w:type="dxa" w:w="43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Two sides face to face; before any record, pure potential; 0 and 1 in perfect symmetry</w:t>
            </w:r>
          </w:p>
        </w:tc>
        <w:tc>
          <w:tcPr>
            <w:tcW w:type="dxa" w:w="35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pre-state; the 1:1; the probability dimension (AP10 §7)</w:t>
            </w:r>
          </w:p>
        </w:tc>
        <w:tc>
          <w:tcPr>
            <w:tcW w:type="dxa" w:w="12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S</w:t>
            </w:r>
          </w:p>
        </w:tc>
      </w:tr>
      <w:tr>
        <w:tc>
          <w:tcPr>
            <w:tcW w:type="dxa" w:w="43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A sliver breaks off; the hourglass tips; up is first defined as the opposite of down</w:t>
            </w:r>
          </w:p>
        </w:tc>
        <w:tc>
          <w:tcPr>
            <w:tcW w:type="dxa" w:w="35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break; the unpaired element ε</w:t>
            </w:r>
          </w:p>
        </w:tc>
        <w:tc>
          <w:tcPr>
            <w:tcW w:type="dxa" w:w="12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B</w:t>
            </w:r>
          </w:p>
        </w:tc>
      </w:tr>
      <w:tr>
        <w:tc>
          <w:tcPr>
            <w:tcW w:type="dxa" w:w="43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first grain through the neck actualises direction; then the second, the third; the grains accumulate; nothing un-records</w:t>
            </w:r>
          </w:p>
        </w:tc>
        <w:tc>
          <w:tcPr>
            <w:tcW w:type="dxa" w:w="35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record; the monoid of appended records</w:t>
            </w:r>
          </w:p>
        </w:tc>
        <w:tc>
          <w:tcPr>
            <w:tcW w:type="dxa" w:w="12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w:t>
            </w:r>
          </w:p>
        </w:tc>
      </w:tr>
      <w:tr>
        <w:tc>
          <w:tcPr>
            <w:tcW w:type="dxa" w:w="43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neck: the constraint every grain must pass; the ring at which all twenty-one converge; gravity</w:t>
            </w:r>
          </w:p>
        </w:tc>
        <w:tc>
          <w:tcPr>
            <w:tcW w:type="dxa" w:w="35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aperture of actualisation; the persistence coupling over all channels</w:t>
            </w:r>
          </w:p>
        </w:tc>
        <w:tc>
          <w:tcPr>
            <w:tcW w:type="dxa" w:w="12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 read at the AS</w:t>
            </w:r>
          </w:p>
        </w:tc>
      </w:tr>
      <w:tr>
        <w:tc>
          <w:tcPr>
            <w:tcW w:type="dxa" w:w="43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A grain falls free but never faster than one click a moment</w:t>
            </w:r>
          </w:p>
        </w:tc>
        <w:tc>
          <w:tcPr>
            <w:tcW w:type="dxa" w:w="35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Constraint — locality, read as bounded propagation; c</w:t>
            </w:r>
          </w:p>
        </w:tc>
        <w:tc>
          <w:tcPr>
            <w:tcW w:type="dxa" w:w="12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C</w:t>
            </w:r>
          </w:p>
        </w:tc>
      </w:tr>
      <w:tr>
        <w:tc>
          <w:tcPr>
            <w:tcW w:type="dxa" w:w="43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Before the landscape holds, the grain falls unbounded; the ropes must first pull tight</w:t>
            </w:r>
          </w:p>
        </w:tc>
        <w:tc>
          <w:tcPr>
            <w:tcW w:type="dxa" w:w="35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Assembly (AP48)</w:t>
            </w:r>
          </w:p>
        </w:tc>
        <w:tc>
          <w:tcPr>
            <w:tcW w:type="dxa" w:w="12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C, once the record can hold</w:t>
            </w:r>
          </w:p>
        </w:tc>
      </w:tr>
      <w:tr>
        <w:tc>
          <w:tcPr>
            <w:tcW w:type="dxa" w:w="43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Where a grain lands depends on the landscape; unsupported piles fall; new records are written</w:t>
            </w:r>
          </w:p>
        </w:tc>
        <w:tc>
          <w:tcPr>
            <w:tcW w:type="dxa" w:w="35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Record-weighted selection (AP25); reconfiguration on the same history; the hold and its costs (AP49)</w:t>
            </w:r>
          </w:p>
        </w:tc>
        <w:tc>
          <w:tcPr>
            <w:tcW w:type="dxa" w:w="12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 B</w:t>
            </w:r>
          </w:p>
        </w:tc>
      </w:tr>
      <w:tr>
        <w:tc>
          <w:tcPr>
            <w:tcW w:type="dxa" w:w="43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tubes swallow configurations, defragment them to grains; each is actualised again</w:t>
            </w:r>
          </w:p>
        </w:tc>
        <w:tc>
          <w:tcPr>
            <w:tcW w:type="dxa" w:w="35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loop; black holes as defragmentation (not this paper)</w:t>
            </w:r>
          </w:p>
        </w:tc>
        <w:tc>
          <w:tcPr>
            <w:tcW w:type="dxa" w:w="12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B, R</w:t>
            </w:r>
          </w:p>
        </w:tc>
      </w:tr>
      <w:tr>
        <w:tc>
          <w:tcPr>
            <w:tcW w:type="dxa" w:w="43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grain: a minimal record; one measure of resistance; the smallest thing that can couple; the electron</w:t>
            </w:r>
          </w:p>
        </w:tc>
        <w:tc>
          <w:tcPr>
            <w:tcW w:type="dxa" w:w="35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ε; the unit; AP06’s leakage constant</w:t>
            </w:r>
          </w:p>
        </w:tc>
        <w:tc>
          <w:tcPr>
            <w:tcW w:type="dxa" w:w="12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B</w:t>
            </w:r>
          </w:p>
        </w:tc>
      </w:tr>
      <w:tr>
        <w:tc>
          <w:tcPr>
            <w:tcW w:type="dxa" w:w="43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six readings — the six constraints under which a landed record is read</w:t>
            </w:r>
          </w:p>
        </w:tc>
        <w:tc>
          <w:tcPr>
            <w:tcW w:type="dxa" w:w="35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AP24’s six faces of ε</w:t>
            </w:r>
          </w:p>
        </w:tc>
        <w:tc>
          <w:tcPr>
            <w:tcW w:type="dxa" w:w="12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six readings</w:t>
            </w:r>
          </w:p>
        </w:tc>
      </w:tr>
      <w:tr>
        <w:tc>
          <w:tcPr>
            <w:tcW w:type="dxa" w:w="43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now never holds; it writes; writer, writing and written are one process</w:t>
            </w:r>
          </w:p>
        </w:tc>
        <w:tc>
          <w:tcPr>
            <w:tcW w:type="dxa" w:w="35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AS as reading surface (7 September 2026)</w:t>
            </w:r>
          </w:p>
        </w:tc>
        <w:tc>
          <w:tcPr>
            <w:tcW w:type="dxa" w:w="12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AS</w:t>
            </w:r>
          </w:p>
        </w:tc>
      </w:tr>
      <w:tr>
        <w:tc>
          <w:tcPr>
            <w:tcW w:type="dxa" w:w="43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One grain uncoupled at every now, or the universe balances out; always +1×ε</w:t>
            </w:r>
          </w:p>
        </w:tc>
        <w:tc>
          <w:tcPr>
            <w:tcW w:type="dxa" w:w="35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held +1×ε of the axiom; balance-impossibility</w:t>
            </w:r>
          </w:p>
        </w:tc>
        <w:tc>
          <w:tcPr>
            <w:tcW w:type="dxa" w:w="12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B, R</w:t>
            </w:r>
          </w:p>
        </w:tc>
      </w:tr>
    </w:tbl>
    <w:p/>
    <w:p>
      <w:pPr>
        <w:spacing w:after="200" w:before="120"/>
        <w:jc w:val="center"/>
      </w:pPr>
      <w:r>
        <w:drawing>
          <wp:inline distT="0" distB="0" distL="0" distR="0">
            <wp:extent cx="5905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067050"/>
                    </a:xfrm>
                    <a:prstGeom prst="rect">
                      <a:avLst/>
                    </a:prstGeom>
                  </pic:spPr>
                </pic:pic>
              </a:graphicData>
            </a:graphic>
          </wp:inline>
        </w:drawing>
      </w:r>
    </w:p>
    <w:p>
      <w:pPr>
        <w:spacing w:after="200" w:before="0" w:line="300"/>
      </w:pPr>
      <w:r>
        <w:rPr>
          <w:rFonts w:ascii="Atkinson Hyperlegible" w:cs="Atkinson Hyperlegible" w:eastAsia="Atkinson Hyperlegible" w:hAnsi="Atkinson Hyperlegible"/>
          <w:b w:val="false"/>
          <w:bCs w:val="false"/>
          <w:i/>
          <w:iCs/>
        </w:rPr>
        <w:t xml:space="preserve">Figure 1 — the hourglass in the corpus’s objects: the potential side; the neck with its ring of twenty-one gates and the one grain in it; the actualised side.</w:t>
      </w:r>
    </w:p>
    <w:p>
      <w:pPr>
        <w:spacing w:after="160" w:before="120" w:line="300"/>
      </w:pPr>
      <w:r>
        <w:rPr>
          <w:rFonts w:ascii="Atkinson Hyperlegible" w:cs="Atkinson Hyperlegible" w:eastAsia="Atkinson Hyperlegible" w:hAnsi="Atkinson Hyperlegible"/>
          <w:b w:val="false"/>
          <w:bCs w:val="false"/>
          <w:i/>
          <w:iCs/>
        </w:rPr>
        <w:t xml:space="preserve">The neck is the only place where anything actually happens. The author wrote that in 2025. The rest of this paper follows from it.</w:t>
      </w:r>
    </w:p>
    <w:p>
      <w:r>
        <w:br w:type="page"/>
      </w:r>
    </w:p>
    <w:p>
      <w:pPr>
        <w:pStyle w:val="Heading1"/>
        <w:spacing w:after="240" w:before="480"/>
      </w:pPr>
      <w:r>
        <w:t xml:space="preserve">2 — The Neck Is a Ring</w:t>
      </w:r>
    </w:p>
    <w:p>
      <w:pPr>
        <w:spacing w:after="160" w:before="0" w:line="300"/>
      </w:pPr>
      <w:r>
        <w:rPr>
          <w:rFonts w:ascii="Atkinson Hyperlegible" w:cs="Atkinson Hyperlegible" w:eastAsia="Atkinson Hyperlegible" w:hAnsi="Atkinson Hyperlegible"/>
          <w:b w:val="false"/>
          <w:bCs w:val="false"/>
          <w:i/>
          <w:iCs/>
        </w:rPr>
        <w:t xml:space="preserve">The paper’s first debt. The reviewers pressed it hardest. Where the circle comes from, and why 1/π.</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The neck is not a puncture through the actualised side. So the 2-sphere objection does not reach it. Its boundary is a ring. The grain passes through the disc. Both by the author’s ruling. The neck is the grain’s own aperture — the grain read as the constraint. So there is nothing else at the neck to measure against. The author rules the grain’s radius as the unit. Then the unpaired element’s weight is one grain over its own disc: 1/π. KS-R.9’s sub-debt is paid on the identity and the unit together. The residual sentence comes out.</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AP28 imagined a hole punched through space. It asked what the hole’s edge looks like. A hole through three-space is bounded by a sphere. The objection wrote itself. But the neck is not a hole in the world. It is the place where the probability side meets the record. There is exactly one thing at that place: the grain. The grain is both the thing passing and the opening it passes through. The identity leaves one thing to say: which length of the grain is one. The author says the radius. The disc of one radius has area π.</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AP28 Proposition 4 and §6 (the circle; the 1/π; the residual sentence). AP10 §7 (the probability dimension prior to the manifold). The author’s rulings of 8 September (the ring; through, not along; the grain as the constraint itself; the radius as the unit). The axiom’s +1×ε.</w:t>
      </w:r>
    </w:p>
    <w:p>
      <w:pPr>
        <w:spacing w:after="160" w:before="0" w:line="300"/>
      </w:pPr>
      <w:r>
        <w:rPr>
          <w:rFonts w:ascii="Atkinson Hyperlegible" w:cs="Atkinson Hyperlegible" w:eastAsia="Atkinson Hyperlegible" w:hAnsi="Atkinson Hyperlegible"/>
          <w:b/>
          <w:bCs/>
          <w:i w:val="false"/>
          <w:iCs w:val="false"/>
        </w:rPr>
        <w:t xml:space="preserve">Theorem — not a puncture (derived). </w:t>
      </w:r>
      <w:r>
        <w:rPr>
          <w:rFonts w:ascii="Atkinson Hyperlegible" w:cs="Atkinson Hyperlegible" w:eastAsia="Atkinson Hyperlegible" w:hAnsi="Atkinson Hyperlegible"/>
          <w:b w:val="false"/>
          <w:bCs w:val="false"/>
          <w:i w:val="false"/>
          <w:iCs w:val="false"/>
        </w:rPr>
        <w:t xml:space="preserve">A puncture through the actualised side is a hole in space. Its boundary is a 2-sphere, measure 4π. The neck is not that. It is the aperture between the probability side and the record, at the now. It is not a hole in the actualised side. So the sphere argument does not apply to the object the corpus has. That argument was the whole of the objection. Proposition 4’s Steps 2 to 4 — the sphere, the tube, the axis — are superseded.</w:t>
      </w:r>
    </w:p>
    <w:p>
      <w:pPr>
        <w:spacing w:after="160" w:before="0" w:line="300"/>
      </w:pPr>
      <w:r>
        <w:rPr>
          <w:rFonts w:ascii="Atkinson Hyperlegible" w:cs="Atkinson Hyperlegible" w:eastAsia="Atkinson Hyperlegible" w:hAnsi="Atkinson Hyperlegible"/>
          <w:b/>
          <w:bCs/>
          <w:i w:val="false"/>
          <w:iCs w:val="false"/>
        </w:rPr>
        <w:t xml:space="preserve">Ruling — the ring (the author). </w:t>
      </w:r>
      <w:r>
        <w:rPr>
          <w:rFonts w:ascii="Atkinson Hyperlegible" w:cs="Atkinson Hyperlegible" w:eastAsia="Atkinson Hyperlegible" w:hAnsi="Atkinson Hyperlegible"/>
          <w:b w:val="false"/>
          <w:bCs w:val="false"/>
          <w:i w:val="false"/>
          <w:iCs w:val="false"/>
        </w:rPr>
        <w:t xml:space="preserve">“Circle — the neck of the hourglass.” All twenty-one converge at it, “like a magnet where the north and south fields converge”. “One grain at a time at the circle of the neck — one coupling event.” The grain passes through the disc. Never along the rim. On this ruling the aperture’s measure is an area. The dimensionless value of a circle’s area is π. The two rivals AP28 named are dead. 2π is the rim. The grain does not travel it. 4π is the sphere. The neck is not one.</w:t>
      </w:r>
    </w:p>
    <w:p>
      <w:pPr>
        <w:spacing w:after="160" w:before="0" w:line="300"/>
      </w:pPr>
      <w:r>
        <w:rPr>
          <w:rFonts w:ascii="Atkinson Hyperlegible" w:cs="Atkinson Hyperlegible" w:eastAsia="Atkinson Hyperlegible" w:hAnsi="Atkinson Hyperlegible"/>
          <w:b/>
          <w:bCs/>
          <w:i w:val="false"/>
          <w:iCs w:val="false"/>
        </w:rPr>
        <w:t xml:space="preserve">Ruling — the grain’s own aperture (the author). </w:t>
      </w:r>
      <w:r>
        <w:rPr>
          <w:rFonts w:ascii="Atkinson Hyperlegible" w:cs="Atkinson Hyperlegible" w:eastAsia="Atkinson Hyperlegible" w:hAnsi="Atkinson Hyperlegible"/>
          <w:b w:val="false"/>
          <w:bCs w:val="false"/>
          <w:i w:val="false"/>
          <w:iCs w:val="false"/>
        </w:rPr>
        <w:t xml:space="preserve">“The grain of sand is the constraint itself and the constraint being read.” “The grain of sand itself is the record being read, by reading the conditions and reading conditions of the record itself — it is and can only be expressed as a single grain of sand, and the shape and characteristics of the grain of sand itself become the observer, the observing and the one being observed.” One object at the neck. Not two.</w:t>
      </w:r>
    </w:p>
    <w:p>
      <w:pPr>
        <w:spacing w:after="160" w:before="0" w:line="300"/>
      </w:pPr>
      <w:r>
        <w:rPr>
          <w:rFonts w:ascii="Atkinson Hyperlegible" w:cs="Atkinson Hyperlegible" w:eastAsia="Atkinson Hyperlegible" w:hAnsi="Atkinson Hyperlegible"/>
          <w:b/>
          <w:bCs/>
          <w:i w:val="false"/>
          <w:iCs w:val="false"/>
        </w:rPr>
        <w:t xml:space="preserve">Theorem — the weight (derived from the rulings and the axiom). </w:t>
      </w:r>
      <w:r>
        <w:rPr>
          <w:rFonts w:ascii="Atkinson Hyperlegible" w:cs="Atkinson Hyperlegible" w:eastAsia="Atkinson Hyperlegible" w:hAnsi="Atkinson Hyperlegible"/>
          <w:b w:val="false"/>
          <w:bCs w:val="false"/>
          <w:i w:val="false"/>
          <w:iCs w:val="false"/>
        </w:rPr>
        <w:t>The numerator is forced. The factor counts one grain: the +1×ε, the one grain uncoupled at every now (§8). That there is exactly one is the tip. The tip is the axiom. The form is a share: one grain’s measure over the aperture’s. That is AP28’s own Step 5, read correctly. The identity of the neck with the grain fixes the object. The aperture is the grain. There is nothing else at the neck to be measured against. It leaves one thing to rule: the unit. The author rules the grain’s radius as the unit of length at the neck. The unit of area is its square: one. The disc is π. One grain, counted, per aperture is one over π. This is a normalisation rule, not a choice of unit. It says which area counts as one grain’s measure: the square on its radius. Once fixed, the ratio is the same in any unit. The author, on the unit, 11 September 2026: “The grain is the moment in time between the measure and the cut. That is a fixed ratio.” The ratio is fixed by what the grain is. Not by what anyone picks. The other rule — the diameter as one, r = ½ — gives a weight four times the ruled one. It gives a G seventy-two percent high once the whole formula is run. It is in the table below, as record. The term carries no α. The neck’s grain has not coupled. Coupling is the landing.</w:t>
      </w:r>
    </w:p>
    <w:p>
      <w:pPr>
        <w:spacing w:after="160" w:before="0" w:line="300"/>
      </w:pPr>
      <w:r>
        <w:rPr>
          <w:rFonts w:ascii="Atkinson Hyperlegible" w:cs="Atkinson Hyperlegible" w:eastAsia="Atkinson Hyperlegible" w:hAnsi="Atkinson Hyperlegible"/>
          <w:b/>
          <w:bCs/>
          <w:i w:val="false"/>
          <w:iCs w:val="false"/>
        </w:rPr>
        <w:t xml:space="preserve">The same aperture, from the other side. </w:t>
      </w:r>
      <w:r>
        <w:rPr>
          <w:rFonts w:ascii="Atkinson Hyperlegible" w:cs="Atkinson Hyperlegible" w:eastAsia="Atkinson Hyperlegible" w:hAnsi="Atkinson Hyperlegible"/>
          <w:b w:val="false"/>
          <w:bCs w:val="false"/>
          <w:i w:val="false"/>
          <w:iCs w:val="false"/>
        </w:rPr>
        <w:t xml:space="preserve">The aperture is the grain’s own. For the same reason it is the glass’s own. Glass and sand are one kind of thing in two configurations. The reader — the glass, the held configuration that reads the sand — reads through the grain’s aperture. That is why the reading is one grain at a time. That is all this paper says of the glass. The rest is AP51 The Glass.</w:t>
      </w:r>
    </w:p>
    <w:p>
      <w:pPr>
        <w:spacing w:after="160" w:before="0" w:line="300"/>
      </w:pPr>
      <w:r>
        <w:rPr>
          <w:rFonts w:ascii="Atkinson Hyperlegible" w:cs="Atkinson Hyperlegible" w:eastAsia="Atkinson Hyperlegible" w:hAnsi="Atkinson Hyperlegible"/>
          <w:b/>
          <w:bCs/>
          <w:i w:val="false"/>
          <w:iCs w:val="false"/>
        </w:rPr>
        <w:t xml:space="preserve">The record of the killing. </w:t>
      </w:r>
      <w:r>
        <w:rPr>
          <w:rFonts w:ascii="Atkinson Hyperlegible" w:cs="Atkinson Hyperlegible" w:eastAsia="Atkinson Hyperlegible" w:hAnsi="Atkinson Hyperlegible"/>
          <w:b w:val="false"/>
          <w:bCs w:val="false"/>
          <w:i w:val="false"/>
          <w:iCs w:val="false"/>
        </w:rPr>
        <w:t xml:space="preserve">The other readings of the aperture are dead on the measurement. This is entered as record, never as source. The order is disclosed, because KS-CCC.1 requires it. “One grain at a time” was written in December 2025. The constraint sentence was the author’s on the afternoon of 8 September 2026. The desk showed him the elimination that night, when he asked which reading the number throws out. He ruled the identity after, as what he had said. With the rest of the formula as AP28 and AP44 wrote it, and CODATA-2022 inputs:</w:t>
      </w:r>
    </w:p>
    <w:tbl>
      <w:tblPr>
        <w:tblW w:type="dxa" w:w="9072"/>
        <w:tblBorders>
          <w:top w:val="single" w:color="999999" w:sz="4"/>
          <w:left w:val="single" w:color="999999" w:sz="4"/>
          <w:bottom w:val="single" w:color="999999" w:sz="4"/>
          <w:right w:val="single" w:color="999999" w:sz="4"/>
          <w:insideH w:val="single" w:color="BBBBBB" w:sz="4"/>
          <w:insideV w:val="single" w:color="BBBBBB" w:sz="4"/>
        </w:tblBorders>
      </w:tblPr>
      <w:tblGrid>
        <w:gridCol w:w="3600"/>
        <w:gridCol w:w="1300"/>
        <w:gridCol w:w="2000"/>
        <w:gridCol w:w="2172"/>
      </w:tblGrid>
      <w:tr>
        <w:trPr>
          <w:tblHeader/>
        </w:trPr>
        <w:tc>
          <w:tcPr>
            <w:tcW w:type="dxa" w:w="3600"/>
            <w:shd w:fill="EDEDED" w:color="auto" w:val="clear"/>
            <w:tcMar>
              <w:top w:type="dxa" w:w="80"/>
              <w:left w:type="dxa" w:w="100"/>
              <w:bottom w:type="dxa" w:w="80"/>
              <w:right w:type="dxa" w:w="100"/>
            </w:tcMar>
          </w:tcPr>
          <w:p>
            <w:pPr>
              <w:spacing w:after="80" w:line="276"/>
            </w:pPr>
            <w:r>
              <w:rPr>
                <w:rFonts w:ascii="Atkinson Hyperlegible" w:cs="Atkinson Hyperlegible" w:eastAsia="Atkinson Hyperlegible" w:hAnsi="Atkinson Hyperlegible"/>
                <w:b/>
                <w:bCs/>
                <w:i w:val="false"/>
                <w:iCs w:val="false"/>
              </w:rPr>
              <w:t xml:space="preserve">Reading of the aperture</w:t>
            </w:r>
          </w:p>
        </w:tc>
        <w:tc>
          <w:tcPr>
            <w:tcW w:type="dxa" w:w="1300"/>
            <w:shd w:fill="EDEDED" w:color="auto" w:val="clear"/>
            <w:tcMar>
              <w:top w:type="dxa" w:w="80"/>
              <w:left w:type="dxa" w:w="100"/>
              <w:bottom w:type="dxa" w:w="80"/>
              <w:right w:type="dxa" w:w="100"/>
            </w:tcMar>
          </w:tcPr>
          <w:p>
            <w:pPr>
              <w:spacing w:after="80" w:line="276"/>
            </w:pPr>
            <w:r>
              <w:rPr>
                <w:rFonts w:ascii="Atkinson Hyperlegible" w:cs="Atkinson Hyperlegible" w:eastAsia="Atkinson Hyperlegible" w:hAnsi="Atkinson Hyperlegible"/>
                <w:b/>
                <w:bCs/>
                <w:i w:val="false"/>
                <w:iCs w:val="false"/>
              </w:rPr>
              <w:t xml:space="preserve">w</w:t>
            </w:r>
          </w:p>
        </w:tc>
        <w:tc>
          <w:tcPr>
            <w:tcW w:type="dxa" w:w="2000"/>
            <w:shd w:fill="EDEDED" w:color="auto" w:val="clear"/>
            <w:tcMar>
              <w:top w:type="dxa" w:w="80"/>
              <w:left w:type="dxa" w:w="100"/>
              <w:bottom w:type="dxa" w:w="80"/>
              <w:right w:type="dxa" w:w="100"/>
            </w:tcMar>
          </w:tcPr>
          <w:p>
            <w:pPr>
              <w:spacing w:after="80" w:line="276"/>
            </w:pPr>
            <w:r>
              <w:rPr>
                <w:rFonts w:ascii="Atkinson Hyperlegible" w:cs="Atkinson Hyperlegible" w:eastAsia="Atkinson Hyperlegible" w:hAnsi="Atkinson Hyperlegible"/>
                <w:b/>
                <w:bCs/>
                <w:i w:val="false"/>
                <w:iCs w:val="false"/>
              </w:rPr>
              <w:t xml:space="preserve">G (×10⁻¹¹)</w:t>
            </w:r>
          </w:p>
        </w:tc>
        <w:tc>
          <w:tcPr>
            <w:tcW w:type="dxa" w:w="2172"/>
            <w:shd w:fill="EDEDED" w:color="auto" w:val="clear"/>
            <w:tcMar>
              <w:top w:type="dxa" w:w="80"/>
              <w:left w:type="dxa" w:w="100"/>
              <w:bottom w:type="dxa" w:w="80"/>
              <w:right w:type="dxa" w:w="100"/>
            </w:tcMar>
          </w:tcPr>
          <w:p>
            <w:pPr>
              <w:spacing w:after="80" w:line="276"/>
            </w:pPr>
            <w:r>
              <w:rPr>
                <w:rFonts w:ascii="Atkinson Hyperlegible" w:cs="Atkinson Hyperlegible" w:eastAsia="Atkinson Hyperlegible" w:hAnsi="Atkinson Hyperlegible"/>
                <w:b/>
                <w:bCs/>
                <w:i w:val="false"/>
                <w:iCs w:val="false"/>
              </w:rPr>
              <w:t xml:space="preserve">Against CODATA</w:t>
            </w:r>
          </w:p>
        </w:tc>
      </w:tr>
      <w:tr>
        <w:tc>
          <w:tcPr>
            <w:tcW w:type="dxa" w:w="36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no unpaired term</w:t>
            </w:r>
          </w:p>
        </w:tc>
        <w:tc>
          <w:tcPr>
            <w:tcW w:type="dxa" w:w="13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0</w:t>
            </w:r>
          </w:p>
        </w:tc>
        <w:tc>
          <w:tcPr>
            <w:tcW w:type="dxa" w:w="20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5.061</w:t>
            </w:r>
          </w:p>
        </w:tc>
        <w:tc>
          <w:tcPr>
            <w:tcW w:type="dxa" w:w="21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−24.2%</w:t>
            </w:r>
          </w:p>
        </w:tc>
      </w:tr>
      <w:tr>
        <w:tc>
          <w:tcPr>
            <w:tcW w:type="dxa" w:w="36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sphere</w:t>
            </w:r>
          </w:p>
        </w:tc>
        <w:tc>
          <w:tcPr>
            <w:tcW w:type="dxa" w:w="13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1/(4π)</w:t>
            </w:r>
          </w:p>
        </w:tc>
        <w:tc>
          <w:tcPr>
            <w:tcW w:type="dxa" w:w="20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5.464</w:t>
            </w:r>
          </w:p>
        </w:tc>
        <w:tc>
          <w:tcPr>
            <w:tcW w:type="dxa" w:w="21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−18.1%</w:t>
            </w:r>
          </w:p>
        </w:tc>
      </w:tr>
      <w:tr>
        <w:tc>
          <w:tcPr>
            <w:tcW w:type="dxa" w:w="36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rim</w:t>
            </w:r>
          </w:p>
        </w:tc>
        <w:tc>
          <w:tcPr>
            <w:tcW w:type="dxa" w:w="13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1/(2π)</w:t>
            </w:r>
          </w:p>
        </w:tc>
        <w:tc>
          <w:tcPr>
            <w:tcW w:type="dxa" w:w="20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5.866</w:t>
            </w:r>
          </w:p>
        </w:tc>
        <w:tc>
          <w:tcPr>
            <w:tcW w:type="dxa" w:w="21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−12.1%</w:t>
            </w:r>
          </w:p>
        </w:tc>
      </w:tr>
      <w:tr>
        <w:tc>
          <w:tcPr>
            <w:tcW w:type="dxa" w:w="36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grain’s own disc, r = 1</w:t>
            </w:r>
          </w:p>
        </w:tc>
        <w:tc>
          <w:tcPr>
            <w:tcW w:type="dxa" w:w="13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1/π</w:t>
            </w:r>
          </w:p>
        </w:tc>
        <w:tc>
          <w:tcPr>
            <w:tcW w:type="dxa" w:w="20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6.672</w:t>
            </w:r>
          </w:p>
        </w:tc>
        <w:tc>
          <w:tcPr>
            <w:tcW w:type="dxa" w:w="21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−0.036%</w:t>
            </w:r>
          </w:p>
        </w:tc>
      </w:tr>
      <w:tr>
        <w:tc>
          <w:tcPr>
            <w:tcW w:type="dxa" w:w="36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one grain per one</w:t>
            </w:r>
          </w:p>
        </w:tc>
        <w:tc>
          <w:tcPr>
            <w:tcW w:type="dxa" w:w="13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1</w:t>
            </w:r>
          </w:p>
        </w:tc>
        <w:tc>
          <w:tcPr>
            <w:tcW w:type="dxa" w:w="20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10.122</w:t>
            </w:r>
          </w:p>
        </w:tc>
        <w:tc>
          <w:tcPr>
            <w:tcW w:type="dxa" w:w="21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+51.7%</w:t>
            </w:r>
          </w:p>
        </w:tc>
      </w:tr>
      <w:tr>
        <w:tc>
          <w:tcPr>
            <w:tcW w:type="dxa" w:w="36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a disc the grain spans as diameter, r = ½</w:t>
            </w:r>
          </w:p>
        </w:tc>
        <w:tc>
          <w:tcPr>
            <w:tcW w:type="dxa" w:w="13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4/π</w:t>
            </w:r>
          </w:p>
        </w:tc>
        <w:tc>
          <w:tcPr>
            <w:tcW w:type="dxa" w:w="20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11.505</w:t>
            </w:r>
          </w:p>
        </w:tc>
        <w:tc>
          <w:tcPr>
            <w:tcW w:type="dxa" w:w="21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+72.4%</w:t>
            </w:r>
          </w:p>
        </w:tc>
      </w:tr>
    </w:tbl>
    <w:p>
      <w:pPr>
        <w:spacing w:after="160" w:before="0" w:line="300"/>
      </w:pPr>
      <w:r>
        <w:rPr>
          <w:rFonts w:ascii="Atkinson Hyperlegible" w:cs="Atkinson Hyperlegible" w:eastAsia="Atkinson Hyperlegible" w:hAnsi="Atkinson Hyperlegible"/>
        </w:rPr>
        <w:t>The weight w is the geometric factor of AP28 §6. One grain’s measure over the aperture’s. The unpaired element’s share, added to the balanced twenty-one. So α_G = α²¹(1 + w). The table is an elimination. It shows what can work and what cannot. G is measured to about twenty-two parts per million. Every reading of the aperture but one is dead against that measurement, by thousands of its own σ. One starts the engine. It is the grain’s own disc. That one is itself sixteen of those σ from the value. The gap is AP44’s open −0.036%, disclosed there. It is not this paper’s. So the table names the corpses. It does not confirm the expression at the measurement’s precision, and the ruling is not derived from it. The derivation is the identity. The table entered after the ruling, never as its source. That is KS-CCC.1’s hygiene, and it is what the neutron’s table was in AP47.</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Not-a-puncture and the form of the factor: Derived. The ring, through-passage, the grain’s own aperture and the radius as the unit: Ruled, in the author’s words, dated. The value 1/π: Derived from the rulings. KS-R.9’s sub-debt: paid at the structural register.</w:t>
      </w:r>
    </w:p>
    <w:p>
      <w:pPr>
        <w:spacing w:after="160" w:before="0" w:line="300"/>
      </w:pPr>
      <w:r>
        <w:rPr>
          <w:rFonts w:ascii="Atkinson Hyperlegible" w:cs="Atkinson Hyperlegible" w:eastAsia="Atkinson Hyperlegible" w:hAnsi="Atkinson Hyperlegible"/>
          <w:b/>
          <w:bCs/>
          <w:i w:val="false"/>
          <w:iCs w:val="false"/>
        </w:rPr>
        <w:t xml:space="preserve">Kill switches</w:t>
      </w:r>
    </w:p>
    <w:p>
      <w:pPr>
        <w:spacing w:after="100" w:before="0" w:line="300"/>
        <w:ind w:left="400"/>
      </w:pPr>
      <w:r>
        <w:rPr>
          <w:rFonts w:ascii="Atkinson Hyperlegible" w:cs="Atkinson Hyperlegible" w:eastAsia="Atkinson Hyperlegible" w:hAnsi="Atkinson Hyperlegible"/>
        </w:rPr>
        <w:t>KS-NECK.1 — The grain’s own aperture. Fires if the neck is shown to be a hole in the actualised side. Or an object distinct from the grain. Or if the passage is shown to be along the rim. Or the weight not one grain over the grain’s own disc. Or the unit shown to be other than the grain’s radius. LIVE — STRUCTURAL.</w:t>
      </w:r>
    </w:p>
    <w:p>
      <w:pPr>
        <w:spacing w:after="100" w:before="0" w:line="300"/>
        <w:ind w:left="400"/>
      </w:pPr>
      <w:r>
        <w:rPr>
          <w:rFonts w:ascii="Atkinson Hyperlegible" w:cs="Atkinson Hyperlegible" w:eastAsia="Atkinson Hyperlegible" w:hAnsi="Atkinson Hyperlegible"/>
        </w:rPr>
        <w:t xml:space="preserve">KS-R.9 (AP28) — Sub-debt PAID on the identity. The switch keeps the ring. It no longer cites the residual. By dated note.</w:t>
      </w:r>
    </w:p>
    <w:p>
      <w:pPr>
        <w:spacing w:after="160" w:before="0" w:line="300"/>
      </w:pPr>
      <w:r>
        <w:rPr>
          <w:rFonts w:ascii="Atkinson Hyperlegible" w:cs="Atkinson Hyperlegible" w:eastAsia="Atkinson Hyperlegible" w:hAnsi="Atkinson Hyperlegible"/>
          <w:b/>
          <w:bCs/>
          <w:i w:val="false"/>
          <w:iCs w:val="false"/>
        </w:rPr>
        <w:t xml:space="preserve">Connections. </w:t>
      </w:r>
      <w:r>
        <w:rPr>
          <w:rFonts w:ascii="Atkinson Hyperlegible" w:cs="Atkinson Hyperlegible" w:eastAsia="Atkinson Hyperlegible" w:hAnsi="Atkinson Hyperlegible"/>
          <w:b w:val="false"/>
          <w:bCs w:val="false"/>
          <w:i w:val="false"/>
          <w:iCs w:val="false"/>
        </w:rPr>
        <w:t xml:space="preserve">The factor lives where AP28 §6 put it: on the persistence coupling. The neck only ever holds the one grain (§8). The glass reads through the same aperture (AP51). The elimination’s hygiene is AP47’s (KS-FLIP.2).</w:t>
      </w:r>
    </w:p>
    <w:p>
      <w:pPr>
        <w:spacing w:after="160" w:before="120" w:line="300"/>
      </w:pPr>
      <w:r>
        <w:rPr>
          <w:rFonts w:ascii="Atkinson Hyperlegible" w:cs="Atkinson Hyperlegible" w:eastAsia="Atkinson Hyperlegible" w:hAnsi="Atkinson Hyperlegible"/>
          <w:b w:val="false"/>
          <w:bCs w:val="false"/>
          <w:i/>
          <w:iCs/>
        </w:rPr>
        <w:t xml:space="preserve">The aperture is the grain. The unit is his.</w:t>
      </w:r>
    </w:p>
    <w:p>
      <w:r>
        <w:br w:type="page"/>
      </w:r>
    </w:p>
    <w:p>
      <w:pPr>
        <w:pStyle w:val="Heading1"/>
        <w:spacing w:after="240" w:before="480"/>
      </w:pPr>
      <w:r>
        <w:t xml:space="preserve">3 — The Six Readings, by Operation</w:t>
      </w:r>
    </w:p>
    <w:p>
      <w:pPr>
        <w:spacing w:after="160" w:before="0" w:line="300"/>
      </w:pPr>
      <w:r>
        <w:rPr>
          <w:rFonts w:ascii="Atkinson Hyperlegible" w:cs="Atkinson Hyperlegible" w:eastAsia="Atkinson Hyperlegible" w:hAnsi="Atkinson Hyperlegible"/>
          <w:b w:val="false"/>
          <w:bCs w:val="false"/>
          <w:i/>
          <w:iCs/>
        </w:rPr>
        <w:t xml:space="preserve">AP24 said the six faces are one object read six ways. It never said what fixes the reading. The hourglass does.</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Which of the six readings applies is fixed by what the grain is doing. Four are readings of the landed grain: mₑ, c, G, the material face. One is the reading of the holding: α, the coupler and the reader. One is the record of the hold: time. The criterion is operational. The corpus already holds both instances: the proton, landed (AP30), and its holders (AP49). And the sorting says why exactly one of the six is dimensionless. Dimension is the extent a thing is held in. The holding has none. Its reading is a pure number.</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A landed grain sits on the pile. You can point at it. You weigh it. You see how its signal moves. You see what pins it there. You see that it does not collapse. The act of holding is not a thing on the pile. It is what a configuration does to keep a grain there. It is done in coupling. And the count of grains that have passed the neck is neither the grain nor the act. It is the record’s own tally of itself.</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AP24 §2 (the six faces; KS-37). The author’s sorting of 8 September. AP30 (the proton’s resistance as mass). AP49 (the holders; r = 16α/1836 at the substrate’s rate).</w:t>
      </w:r>
    </w:p>
    <w:p>
      <w:pPr>
        <w:spacing w:after="160" w:before="0" w:line="300"/>
      </w:pPr>
      <w:r>
        <w:rPr>
          <w:rFonts w:ascii="Atkinson Hyperlegible" w:cs="Atkinson Hyperlegible" w:eastAsia="Atkinson Hyperlegible" w:hAnsi="Atkinson Hyperlegible"/>
          <w:b/>
          <w:bCs/>
          <w:i w:val="false"/>
          <w:iCs w:val="false"/>
        </w:rPr>
        <w:t xml:space="preserve">Ruling — the sorting (the author). </w:t>
      </w:r>
      <w:r>
        <w:rPr>
          <w:rFonts w:ascii="Atkinson Hyperlegible" w:cs="Atkinson Hyperlegible" w:eastAsia="Atkinson Hyperlegible" w:hAnsi="Atkinson Hyperlegible"/>
          <w:b w:val="false"/>
          <w:bCs w:val="false"/>
          <w:i w:val="false"/>
          <w:iCs w:val="false"/>
        </w:rPr>
        <w:t xml:space="preserve">“Held as c, G, mₑ and the material face, in three dimensions, over time — and alpha is the coupler and the reader.” “Reading is a coupling event, writing is a coupling event, holding is a coupling event.” “Time is the record of the hold and the record history’s measuring unit.” “The actualised record is read based on the six reading constraints.”</w:t>
      </w:r>
    </w:p>
    <w:p>
      <w:pPr>
        <w:spacing w:after="160" w:before="0" w:line="300"/>
      </w:pPr>
      <w:r>
        <w:rPr>
          <w:rFonts w:ascii="Atkinson Hyperlegible" w:cs="Atkinson Hyperlegible" w:eastAsia="Atkinson Hyperlegible" w:hAnsi="Atkinson Hyperlegible"/>
          <w:b/>
          <w:bCs/>
          <w:i w:val="false"/>
          <w:iCs w:val="false"/>
        </w:rPr>
        <w:t xml:space="preserve">Theorem — the criterion does not consult the reading. </w:t>
      </w:r>
      <w:r>
        <w:rPr>
          <w:rFonts w:ascii="Atkinson Hyperlegible" w:cs="Atkinson Hyperlegible" w:eastAsia="Atkinson Hyperlegible" w:hAnsi="Atkinson Hyperlegible"/>
          <w:b w:val="false"/>
          <w:bCs w:val="false"/>
          <w:i w:val="false"/>
          <w:iCs w:val="false"/>
        </w:rPr>
        <w:t xml:space="preserve">Landed: a coupled record held over three dimensions and time. One that has landed and can be pointed at. The proton is landed. Its resistance is counted as mass above the minimal break. The holding: the act. The one doing the pointing. The proton’s holders are holdings. Their share is in α: the sixteen expressions at the substrate’s rate. The same configuration, read landed, is mass. Read as held, it is a chain in α. The assignment consulted what was being done. It did not consult what the reading returned.</w:t>
      </w:r>
    </w:p>
    <w:p>
      <w:pPr>
        <w:spacing w:after="160" w:before="0" w:line="300"/>
      </w:pPr>
      <w:r>
        <w:rPr>
          <w:rFonts w:ascii="Atkinson Hyperlegible" w:cs="Atkinson Hyperlegible" w:eastAsia="Atkinson Hyperlegible" w:hAnsi="Atkinson Hyperlegible"/>
          <w:b/>
          <w:bCs/>
          <w:i w:val="false"/>
          <w:iCs w:val="false"/>
        </w:rPr>
        <w:t xml:space="preserve">Two fours, kept apart. </w:t>
      </w:r>
      <w:r>
        <w:rPr>
          <w:rFonts w:ascii="Atkinson Hyperlegible" w:cs="Atkinson Hyperlegible" w:eastAsia="Atkinson Hyperlegible" w:hAnsi="Atkinson Hyperlegible"/>
          <w:b w:val="false"/>
          <w:bCs w:val="false"/>
          <w:i w:val="false"/>
          <w:iCs w:val="false"/>
        </w:rPr>
        <w:t xml:space="preserve">The landed four — c, G, mₑ, the material face — are faces of the grain. The sixteen’s four — S, B, R, C — are conditions on the record (AP49 §3). AP10 §0.3 maps the conditions to the manifold’s faces. AP28’s Proposition 1 reads the faces of the grain to the axioms. It finds G and t both reading R. It finds none of the landed four reading S. That tension is AP28’s and AP24’s. It is held open (§0.7). Nothing here needs the two fours to be one four.</w:t>
      </w:r>
    </w:p>
    <w:p>
      <w:pPr>
        <w:spacing w:after="160" w:before="0" w:line="300"/>
      </w:pPr>
      <w:r>
        <w:rPr>
          <w:rFonts w:ascii="Atkinson Hyperlegible" w:cs="Atkinson Hyperlegible" w:eastAsia="Atkinson Hyperlegible" w:hAnsi="Atkinson Hyperlegible"/>
          <w:b/>
          <w:bCs/>
          <w:i w:val="false"/>
          <w:iCs w:val="false"/>
        </w:rPr>
        <w:t xml:space="preserve">Ruling — α is the now (the author, 9 September). </w:t>
      </w:r>
      <w:r>
        <w:rPr>
          <w:rFonts w:ascii="Atkinson Hyperlegible" w:cs="Atkinson Hyperlegible" w:eastAsia="Atkinson Hyperlegible" w:hAnsi="Atkinson Hyperlegible"/>
          <w:b w:val="false"/>
          <w:bCs w:val="false"/>
          <w:i w:val="false"/>
          <w:iCs w:val="false"/>
        </w:rPr>
        <w:t xml:space="preserve">“Phase coupling capacity is awareness — then it is alpha — then awareness becomes the pupil that can’t see the eye itself. Awareness in the AS is the now. We all share the now.” And: “it explains why alpha is dimensionless — it is the now that never holds — but it is the coupling capacity itself.”</w:t>
      </w:r>
    </w:p>
    <w:p>
      <w:pPr>
        <w:spacing w:after="160" w:before="0" w:line="300"/>
      </w:pPr>
      <w:r>
        <w:rPr>
          <w:rFonts w:ascii="Atkinson Hyperlegible" w:cs="Atkinson Hyperlegible" w:eastAsia="Atkinson Hyperlegible" w:hAnsi="Atkinson Hyperlegible"/>
          <w:b/>
          <w:bCs/>
          <w:i w:val="false"/>
          <w:iCs w:val="false"/>
        </w:rPr>
        <w:t xml:space="preserve">Theorem — why exactly one of the six is dimensionless. </w:t>
      </w:r>
      <w:r>
        <w:rPr>
          <w:rFonts w:ascii="Atkinson Hyperlegible" w:cs="Atkinson Hyperlegible" w:eastAsia="Atkinson Hyperlegible" w:hAnsi="Atkinson Hyperlegible"/>
          <w:b w:val="false"/>
          <w:bCs w:val="false"/>
          <w:i w:val="false"/>
          <w:iCs w:val="false"/>
        </w:rPr>
        <w:t>Of AP24’s six faces, one is a pure number. Five carry units. α alone is dimensionless. AP06 calls it Notebook IV’s one measured dimensionless input. mₑ, c, G, the material face — AP24 §5, Face 5: the substrate’s stiffnesses, temporal and spatial, whose ratio is c²; a reading of the landed, carrying the landed’s units — and t all carry the units of length, time and mass, in any system that keeps those three apart. The sorting says why. It says it three ways. First: dimension is the extent a thing is held in — room and time. The four readings of the landed carry units because the landed is held through three dimensions over time. Time itself is the record’s unit of relative measurement. The holding is the act at the now. The now never holds. It is from where the hold is read (ruled 7 September). So its reading has nothing to be held in. It has no unit to carry. Second: in Face 3’s own formula the held quantities cancel. The electron’s charge squared over the quantum of action times the click. What is left is the count of one completed exchange. The held readings measure the exchange against each other. The holding is their ratio. Third: the now has no duration. It is the click, not a length of clicks. The one length at the neck — the grain’s radius, §2 — enters a reading taken at the now only as a ratio of like to like, one grain over its own disc. So no reading taken at the now carries a unit. One reading of six is dimensionless. It is exactly the one the sorting assigns to the holding. The sorting was ruled on 8 September on other grounds. That is the sorting met by a fact it was not written for.</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The sorting: Ruled, in the author’s words. The instance: the corpus’s own. The dimensionless reading: the dimensionlessness itself is fixed by the defining ratio; the sorting says which face it belongs to and why. A check the sorting passes.</w:t>
      </w:r>
    </w:p>
    <w:p>
      <w:pPr>
        <w:spacing w:after="160" w:before="0" w:line="300"/>
      </w:pPr>
      <w:r>
        <w:rPr>
          <w:rFonts w:ascii="Atkinson Hyperlegible" w:cs="Atkinson Hyperlegible" w:eastAsia="Atkinson Hyperlegible" w:hAnsi="Atkinson Hyperlegible"/>
          <w:b/>
          <w:bCs/>
          <w:i w:val="false"/>
          <w:iCs w:val="false"/>
        </w:rPr>
        <w:t xml:space="preserve">Kill switches</w:t>
      </w:r>
    </w:p>
    <w:p>
      <w:pPr>
        <w:spacing w:after="100" w:before="0" w:line="300"/>
        <w:ind w:left="400"/>
      </w:pPr>
      <w:r>
        <w:rPr>
          <w:rFonts w:ascii="Atkinson Hyperlegible" w:cs="Atkinson Hyperlegible" w:eastAsia="Atkinson Hyperlegible" w:hAnsi="Atkinson Hyperlegible"/>
        </w:rPr>
        <w:t>KS-NECK.2 — Reading by operation. Fires if a reading is shown to apply to an operation not its own. A landed grain read in α. An act of holding read as mass. At the proton, the arena, or any configuration. Or if a reading of the landed is shown dimensionless. Or the holding’s reading shown to carry a unit. LIVE — STRUCTURAL. Sections 6 and 8 stand on it.</w:t>
      </w:r>
    </w:p>
    <w:p>
      <w:pPr>
        <w:spacing w:after="160" w:before="0" w:line="300"/>
      </w:pPr>
      <w:r>
        <w:rPr>
          <w:rFonts w:ascii="Atkinson Hyperlegible" w:cs="Atkinson Hyperlegible" w:eastAsia="Atkinson Hyperlegible" w:hAnsi="Atkinson Hyperlegible"/>
          <w:b/>
          <w:bCs/>
          <w:i w:val="false"/>
          <w:iCs w:val="false"/>
        </w:rPr>
        <w:t xml:space="preserve">Connections. </w:t>
      </w:r>
      <w:r>
        <w:rPr>
          <w:rFonts w:ascii="Atkinson Hyperlegible" w:cs="Atkinson Hyperlegible" w:eastAsia="Atkinson Hyperlegible" w:hAnsi="Atkinson Hyperlegible"/>
          <w:b w:val="false"/>
          <w:bCs w:val="false"/>
          <w:i w:val="false"/>
          <w:iCs w:val="false"/>
        </w:rPr>
        <w:t xml:space="preserve">The rule turns AP44’s selection into a reading (§6). It bounds the readings of one grain (§8). The eighteen are the six faces of a held grain (§4). The sorting says which operation each face reads.</w:t>
      </w:r>
    </w:p>
    <w:p>
      <w:pPr>
        <w:spacing w:after="160" w:before="120" w:line="300"/>
      </w:pPr>
      <w:r>
        <w:rPr>
          <w:rFonts w:ascii="Atkinson Hyperlegible" w:cs="Atkinson Hyperlegible" w:eastAsia="Atkinson Hyperlegible" w:hAnsi="Atkinson Hyperlegible"/>
          <w:b w:val="false"/>
          <w:bCs w:val="false"/>
          <w:i/>
          <w:iCs/>
        </w:rPr>
        <w:t xml:space="preserve">Ask what the grain is doing. The constant tells you which face it is showing. Ask which one has no unit. It tells you which face is the now.</w:t>
      </w:r>
    </w:p>
    <w:p>
      <w:r>
        <w:br w:type="page"/>
      </w:r>
    </w:p>
    <w:p>
      <w:pPr>
        <w:pStyle w:val="Heading1"/>
        <w:spacing w:after="240" w:before="480"/>
      </w:pPr>
      <w:r>
        <w:t xml:space="preserve">4 — Eighteen Held, Three Written</w:t>
      </w:r>
    </w:p>
    <w:p>
      <w:pPr>
        <w:spacing w:after="160" w:before="0" w:line="300"/>
      </w:pPr>
      <w:r>
        <w:rPr>
          <w:rFonts w:ascii="Atkinson Hyperlegible" w:cs="Atkinson Hyperlegible" w:eastAsia="Atkinson Hyperlegible" w:hAnsi="Atkinson Hyperlegible"/>
          <w:b w:val="false"/>
          <w:bCs w:val="false"/>
          <w:i/>
          <w:iCs/>
        </w:rPr>
        <w:t xml:space="preserve">The hostile referee’s best line: three coordinates are an address, not three channels. Here is why they are channels. Here is why there are not four.</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The eighteen are what the record holds after now: six readings held through three spatial dimensions. The picture has this count on its own: AP48 §1, the ropes — eighteen hold the landed grain, three guide the walk. A rope is a coupling of the grain to the landscape. Eighteen ropes are eighteen holdings, and each holding is a completed exchange (§5). Three guides are the three written. Four of them read the landed state. One reads the holding. One reads the record of the hold (§3). The three are what the writing needs: one coupling per independent spatial face of the landscape, at α. The writing does not couple to time. Time is the record of the hold. 6 × 3 + 3 = 21. Not 22.</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To be placed on the pile is not to be given coordinates. It is to be caught by the pile. To couple to it. The pile has three independent directions to be caught in. The click is not a fourth direction. The grain does not couple to the click. The grain is the click. Time is what the pile counts afterwards.</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AP28 §3 and Proposition 2. AP10 §0.3 (S, B, C spatial; R time; the axes not fixed). AP20 §4.2 (the axioms independent). The author’s +3 ruling. AP49 §3 (the sixteen).</w:t>
      </w:r>
    </w:p>
    <w:p>
      <w:pPr>
        <w:spacing w:after="160" w:before="0" w:line="300"/>
      </w:pPr>
      <w:r>
        <w:rPr>
          <w:rFonts w:ascii="Atkinson Hyperlegible" w:cs="Atkinson Hyperlegible" w:eastAsia="Atkinson Hyperlegible" w:hAnsi="Atkinson Hyperlegible"/>
          <w:b/>
          <w:bCs/>
          <w:i w:val="false"/>
          <w:iCs w:val="false"/>
        </w:rPr>
        <w:t xml:space="preserve">Theorem — placement is coupling. </w:t>
      </w:r>
      <w:r>
        <w:rPr>
          <w:rFonts w:ascii="Atkinson Hyperlegible" w:cs="Atkinson Hyperlegible" w:eastAsia="Atkinson Hyperlegible" w:hAnsi="Atkinson Hyperlegible"/>
          <w:b w:val="false"/>
          <w:bCs w:val="false"/>
          <w:i w:val="false"/>
          <w:iCs w:val="false"/>
        </w:rPr>
        <w:t>“Where a grain lands depends on the landscape of previous grains.” To be placed is to couple to the landscape. The landscape has three independent spatial faces: the exchange face, the break face, the propagation face. That is AP10 §0.3. It maps S, B and C to spatial faces and R to time. That correspondence stands. What AP47 §5 withdrew — “two earlier readings retire from the derivation chain, on the record … an identification of the four dimensions with the four conditions {S, B, R, C}” — was a claim that AP30 contained it. AP30 did not. The three faces are independent because the axioms are (AP20). One coupling per independent face. Each at α (§5). They count as channels of the same kind as the eighteen. Both are couplings of one grain to a dimension. The eighteen are held after now. The three are written now. A held grain carries all six faces. §3 says which operation each face reads.</w:t>
      </w:r>
    </w:p>
    <w:p>
      <w:pPr>
        <w:spacing w:after="160" w:before="0" w:line="300"/>
      </w:pPr>
      <w:r>
        <w:rPr>
          <w:rFonts w:ascii="Atkinson Hyperlegible" w:cs="Atkinson Hyperlegible" w:eastAsia="Atkinson Hyperlegible" w:hAnsi="Atkinson Hyperlegible"/>
          <w:b/>
          <w:bCs/>
          <w:i w:val="false"/>
          <w:iCs w:val="false"/>
        </w:rPr>
        <w:t xml:space="preserve">Theorem — one rule for the three and the eighteen. </w:t>
      </w:r>
      <w:r>
        <w:rPr>
          <w:rFonts w:ascii="Atkinson Hyperlegible" w:cs="Atkinson Hyperlegible" w:eastAsia="Atkinson Hyperlegible" w:hAnsi="Atkinson Hyperlegible"/>
          <w:b w:val="false"/>
          <w:bCs w:val="false"/>
          <w:i w:val="false"/>
          <w:iCs w:val="false"/>
        </w:rPr>
        <w:t xml:space="preserve">The objection has a form the paper answers directly. It says placement is one coupling with three components, not three couplings. If that were right for the three, it would be right for the eighteen. A face through three dimensions would be one coupling with three components. The count would be six. It is not right for the eighteen. AP28’s Proposition 3 derives independent couplings from independent faces and independent dimensions. The corpus has stood on that count since AP28 locked. So it is not right for the three, by the same rule. The three stand with the eighteen. One rule: one coupling per independent face. Not a separate argument that can be called counting slots.</w:t>
      </w:r>
    </w:p>
    <w:p>
      <w:pPr>
        <w:spacing w:after="160" w:before="0" w:line="300"/>
      </w:pPr>
      <w:r>
        <w:rPr>
          <w:rFonts w:ascii="Atkinson Hyperlegible" w:cs="Atkinson Hyperlegible" w:eastAsia="Atkinson Hyperlegible" w:hAnsi="Atkinson Hyperlegible"/>
          <w:b/>
          <w:bCs/>
          <w:i w:val="false"/>
          <w:iCs w:val="false"/>
        </w:rPr>
        <w:t xml:space="preserve">Ruling — why not four (the author). </w:t>
      </w:r>
      <w:r>
        <w:rPr>
          <w:rFonts w:ascii="Atkinson Hyperlegible" w:cs="Atkinson Hyperlegible" w:eastAsia="Atkinson Hyperlegible" w:hAnsi="Atkinson Hyperlegible"/>
          <w:b w:val="false"/>
          <w:bCs w:val="false"/>
          <w:i w:val="false"/>
          <w:iCs w:val="false"/>
        </w:rPr>
        <w:t xml:space="preserve">“The now reads 3 dimensions — and from now the arrow of time emerges.” “The hold is over 3 dimensions plus time — time is the record of the hold.” Time is not a face the now couples to. It is what the hold leaves behind. The record’s own measure of itself against other records. “Over time” is R’s condition on the record. A record that has not held over time is not measurable. It does not exist structurally. It is not a fourth coupling of the writing. The passage through the neck is the click. The writing does not couple to the click. It is the click.</w:t>
      </w:r>
    </w:p>
    <w:p>
      <w:pPr>
        <w:spacing w:after="160" w:before="0" w:line="300"/>
      </w:pPr>
      <w:r>
        <w:rPr>
          <w:rFonts w:ascii="Atkinson Hyperlegible" w:cs="Atkinson Hyperlegible" w:eastAsia="Atkinson Hyperlegible" w:hAnsi="Atkinson Hyperlegible"/>
          <w:b/>
          <w:bCs/>
          <w:i w:val="false"/>
          <w:iCs w:val="false"/>
        </w:rPr>
        <w:t xml:space="preserve">Consistent with the sixteen. </w:t>
      </w:r>
      <w:r>
        <w:rPr>
          <w:rFonts w:ascii="Atkinson Hyperlegible" w:cs="Atkinson Hyperlegible" w:eastAsia="Atkinson Hyperlegible" w:hAnsi="Atkinson Hyperlegible"/>
          <w:b w:val="false"/>
          <w:bCs w:val="false"/>
          <w:i w:val="false"/>
          <w:iCs w:val="false"/>
        </w:rPr>
        <w:t xml:space="preserve">AP49’s 4 × (3 + 1) counts conditions of a record held through room and time. That is a count on the held. The +3 counts couplings of the writing across room. That is a count on the writing. Different objects. Both in the picture. Both counted once.</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The not-four: Ruled and Derived. One coupling per independent face: the same identification as the eighteen. It stands with them.</w:t>
      </w:r>
    </w:p>
    <w:p>
      <w:pPr>
        <w:spacing w:after="160" w:before="0" w:line="300"/>
      </w:pPr>
      <w:r>
        <w:rPr>
          <w:rFonts w:ascii="Atkinson Hyperlegible" w:cs="Atkinson Hyperlegible" w:eastAsia="Atkinson Hyperlegible" w:hAnsi="Atkinson Hyperlegible"/>
          <w:b/>
          <w:bCs/>
          <w:i w:val="false"/>
          <w:iCs w:val="false"/>
        </w:rPr>
        <w:t xml:space="preserve">Kill switches</w:t>
      </w:r>
    </w:p>
    <w:p>
      <w:pPr>
        <w:spacing w:after="100" w:before="0" w:line="300"/>
        <w:ind w:left="400"/>
      </w:pPr>
      <w:r>
        <w:rPr>
          <w:rFonts w:ascii="Atkinson Hyperlegible" w:cs="Atkinson Hyperlegible" w:eastAsia="Atkinson Hyperlegible" w:hAnsi="Atkinson Hyperlegible"/>
        </w:rPr>
        <w:t xml:space="preserve">KS-R.8b (AP28) — Fires if placement is shown to need a temporal coupling. Sharpened by dated note.</w:t>
      </w:r>
    </w:p>
    <w:p>
      <w:pPr>
        <w:spacing w:after="160" w:before="0" w:line="300"/>
      </w:pPr>
      <w:r>
        <w:rPr>
          <w:rFonts w:ascii="Atkinson Hyperlegible" w:cs="Atkinson Hyperlegible" w:eastAsia="Atkinson Hyperlegible" w:hAnsi="Atkinson Hyperlegible"/>
          <w:b/>
          <w:bCs/>
          <w:i w:val="false"/>
          <w:iCs w:val="false"/>
        </w:rPr>
        <w:t xml:space="preserve">Connections. </w:t>
      </w:r>
      <w:r>
        <w:rPr>
          <w:rFonts w:ascii="Atkinson Hyperlegible" w:cs="Atkinson Hyperlegible" w:eastAsia="Atkinson Hyperlegible" w:hAnsi="Atkinson Hyperlegible"/>
          <w:b w:val="false"/>
          <w:bCs w:val="false"/>
          <w:i w:val="false"/>
          <w:iCs w:val="false"/>
        </w:rPr>
        <w:t xml:space="preserve">The three are couplings by §5’s necessity: no record without coupling. The sixteen and the twenty-one are two counts of two things (§3).</w:t>
      </w:r>
    </w:p>
    <w:p>
      <w:pPr>
        <w:spacing w:after="160" w:before="120" w:line="300"/>
      </w:pPr>
      <w:r>
        <w:rPr>
          <w:rFonts w:ascii="Atkinson Hyperlegible" w:cs="Atkinson Hyperlegible" w:eastAsia="Atkinson Hyperlegible" w:hAnsi="Atkinson Hyperlegible"/>
          <w:b w:val="false"/>
          <w:bCs w:val="false"/>
          <w:i/>
          <w:iCs/>
        </w:rPr>
        <w:t xml:space="preserve">The grain does not couple to the click. The grain is the click.</w:t>
      </w:r>
    </w:p>
    <w:p>
      <w:r>
        <w:br w:type="page"/>
      </w:r>
    </w:p>
    <w:p>
      <w:pPr>
        <w:pStyle w:val="Heading1"/>
        <w:spacing w:after="240" w:before="480"/>
      </w:pPr>
      <w:r>
        <w:t xml:space="preserve">5 — The Gates</w:t>
      </w:r>
    </w:p>
    <w:p>
      <w:pPr>
        <w:spacing w:after="160" w:before="0" w:line="300"/>
      </w:pPr>
      <w:r>
        <w:rPr>
          <w:rFonts w:ascii="Atkinson Hyperlegible" w:cs="Atkinson Hyperlegible" w:eastAsia="Atkinson Hyperlegible" w:hAnsi="Atkinson Hyperlegible"/>
          <w:b w:val="false"/>
          <w:bCs w:val="false"/>
          <w:i/>
          <w:iCs/>
        </w:rPr>
        <w:t xml:space="preserve">AP28 called the product “a mathematical fact about independent events”. That was the assumption. Here is the fact about the neck that replaces it. Here is the identification it cannot replace.</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The per-gate worth α is the corpus’s identification (AP06 §10.7; AP28 Proposition 5). This paper does not derive the number. Around it, three things are derived or ruled. A gate is a completed exchange — a writer and a reader, e·e, two vertices. So it is worth α, not a single vertex, √α. The twenty-one are a conjunction at the neck. So they compound as a product, not a sum. The product needs the passages independent. The corpus claims that at the structural register and fences it on its own counterexample.</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A grain does not choose one of twenty-one doors. It must pass all twenty-one at once, at the one neck, now. Gravity is the ring, not one of the doors. Requirements conjoin. Alternatives interfere. And each door is a handshake. A coupling nobody reads is half an event: one vertex. Half an event has no reading. A whole handshake, two vertices, is worth α.</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AP28 §4 and Propositions 3 and 5. AP06 §10.7. AP24 Face 3 (e² in α’s numerator). AP25 (record-weighted selection). The author’s rulings of 8 September.</w:t>
      </w:r>
    </w:p>
    <w:p>
      <w:pPr>
        <w:spacing w:after="160" w:before="0" w:line="300"/>
      </w:pPr>
      <w:r>
        <w:rPr>
          <w:rFonts w:ascii="Atkinson Hyperlegible" w:cs="Atkinson Hyperlegible" w:eastAsia="Atkinson Hyperlegible" w:hAnsi="Atkinson Hyperlegible"/>
          <w:b/>
          <w:bCs/>
          <w:i w:val="false"/>
          <w:iCs w:val="false"/>
        </w:rPr>
        <w:t xml:space="preserve">Ruling — a gate is a completed exchange (the author). </w:t>
      </w:r>
      <w:r>
        <w:rPr>
          <w:rFonts w:ascii="Atkinson Hyperlegible" w:cs="Atkinson Hyperlegible" w:eastAsia="Atkinson Hyperlegible" w:hAnsi="Atkinson Hyperlegible"/>
          <w:b w:val="false"/>
          <w:bCs w:val="false"/>
          <w:i w:val="false"/>
          <w:iCs w:val="false"/>
        </w:rPr>
        <w:t xml:space="preserve">“The record configuration can only be read by a record configuration as a record configuration.” A coupling with no reader is half an event. It has no reading. A coupling read is one event. α is the worth of one completed exchange: e·e, the pair, two vertices (AP24 Face 3). e alone, √α, is one vertex. Half an event. No reading. In the author’s words, “the rate reading is the reading relative to the record history”. Outcomes at the neck are weighted by the landscape (AP25). That is a statement about completed exchanges. It is not about interfering halves. The value stays identified. The kind of quantity a gate contributes is his, with a reason.</w:t>
      </w:r>
    </w:p>
    <w:p>
      <w:pPr>
        <w:spacing w:after="160" w:before="0" w:line="300"/>
      </w:pPr>
      <w:r>
        <w:rPr>
          <w:rFonts w:ascii="Atkinson Hyperlegible" w:cs="Atkinson Hyperlegible" w:eastAsia="Atkinson Hyperlegible" w:hAnsi="Atkinson Hyperlegible"/>
          <w:b/>
          <w:bCs/>
          <w:i w:val="false"/>
          <w:iCs w:val="false"/>
        </w:rPr>
        <w:t xml:space="preserve">Theorem — a conjunction, not alternatives (derived). </w:t>
      </w:r>
      <w:r>
        <w:rPr>
          <w:rFonts w:ascii="Atkinson Hyperlegible" w:cs="Atkinson Hyperlegible" w:eastAsia="Atkinson Hyperlegible" w:hAnsi="Atkinson Hyperlegible"/>
          <w:b w:val="false"/>
          <w:bCs w:val="false"/>
          <w:i w:val="false"/>
          <w:iCs w:val="false"/>
        </w:rPr>
        <w:t xml:space="preserve">Gravity is the neck. The twenty-one are not alternative paths a grain might take. They are twenty-one gates it must pass at the neck, in the one now, all at once. Alternatives interfere. Their amplitudes add. Requirements conjoin. Their measures multiply. So the coupling through the gates is a product, not a sum. That is the fact that gravity is the ring and not one of the gates through it. Conjunction does not decide what each gate contributes. That is the ruling above. It stays there. AP28 §4’s sentence comes out by dated note. Both of these go in.</w:t>
      </w:r>
    </w:p>
    <w:p>
      <w:pPr>
        <w:spacing w:after="160" w:before="0" w:line="300"/>
      </w:pPr>
      <w:r>
        <w:rPr>
          <w:rFonts w:ascii="Atkinson Hyperlegible" w:cs="Atkinson Hyperlegible" w:eastAsia="Atkinson Hyperlegible" w:hAnsi="Atkinson Hyperlegible"/>
          <w:b/>
          <w:bCs/>
          <w:i w:val="false"/>
          <w:iCs w:val="false"/>
        </w:rPr>
        <w:t xml:space="preserve">Claim — independence, and its switch (stated, fenced). </w:t>
      </w:r>
      <w:r>
        <w:rPr>
          <w:rFonts w:ascii="Atkinson Hyperlegible" w:cs="Atkinson Hyperlegible" w:eastAsia="Atkinson Hyperlegible" w:hAnsi="Atkinson Hyperlegible"/>
          <w:b w:val="false"/>
          <w:bCs w:val="false"/>
          <w:i w:val="false"/>
          <w:iCs w:val="false"/>
        </w:rPr>
        <w:t>A product of twenty-one α’s needs the twenty-one passages to be independent events. Suppose the gates opened together on one shared condition. Then the joint passage would be at α, not α²¹. In the author’s words: “it passes at and as α, coupling the coupled record.” AP28’s Proposition 3 argues independence from the independence of the faces and the dimensions. The picture says why those are the right independences. A gate is one face through one dimension. Or the now through one face of the landscape. Nothing else is at the neck. What the picture supplies is the count of exchanges: the eighteen ropes and the three guides of AP48 §1. What it does not supply is that the eighteen ropes are eighteen exchanges rather than one holding read eighteen ways. That is the independence claimed. In the picture, a shared condition would be the eighteen ropes pulling on one state of the landscape, so that one gate’s passage fixed the others’: then one exchange, worth α, and the exponent collapses. The bridge from independent faces to independent passages is a claim at the structural register. It is not a theorem. It is the only claim of its kind in this paper. KS-R.8c is rewritten to fire on exactly the counterexample. If the passages are shown correlated, the exponent changes. The count does not.</w:t>
      </w:r>
    </w:p>
    <w:p>
      <w:pPr>
        <w:spacing w:after="160" w:before="0" w:line="300"/>
      </w:pPr>
      <w:r>
        <w:rPr>
          <w:rFonts w:ascii="Atkinson Hyperlegible" w:cs="Atkinson Hyperlegible" w:eastAsia="Atkinson Hyperlegible" w:hAnsi="Atkinson Hyperlegible"/>
          <w:b/>
          <w:bCs/>
          <w:i w:val="false"/>
          <w:iCs w:val="false"/>
        </w:rPr>
        <w:t xml:space="preserve">Ruling — the gate is a coupling by necessity (the author). </w:t>
      </w:r>
      <w:r>
        <w:rPr>
          <w:rFonts w:ascii="Atkinson Hyperlegible" w:cs="Atkinson Hyperlegible" w:eastAsia="Atkinson Hyperlegible" w:hAnsi="Atkinson Hyperlegible"/>
          <w:b w:val="false"/>
          <w:bCs w:val="false"/>
          <w:i w:val="false"/>
          <w:iCs w:val="false"/>
        </w:rPr>
        <w:t xml:space="preserve">“Without coupling capacity, a record is impossible and unreadable — it is not a maybe condition — it is forced by the act of both reading and writing — only a held (coupled) record can be read.” A gate is not a place where coupling might occur. A gate is a coupling. What the picture cannot force is the number.</w:t>
      </w:r>
    </w:p>
    <w:p>
      <w:pPr>
        <w:spacing w:after="160" w:before="0" w:line="300"/>
      </w:pPr>
      <w:r>
        <w:rPr>
          <w:rFonts w:ascii="Atkinson Hyperlegible" w:cs="Atkinson Hyperlegible" w:eastAsia="Atkinson Hyperlegible" w:hAnsi="Atkinson Hyperlegible"/>
          <w:b/>
          <w:bCs/>
          <w:i w:val="false"/>
          <w:iCs w:val="false"/>
        </w:rPr>
        <w:t xml:space="preserve">Theorem — gravity’s two roles, and the count. </w:t>
      </w:r>
      <w:r>
        <w:rPr>
          <w:rFonts w:ascii="Atkinson Hyperlegible" w:cs="Atkinson Hyperlegible" w:eastAsia="Atkinson Hyperlegible" w:hAnsi="Atkinson Hyperlegible"/>
          <w:b w:val="false"/>
          <w:bCs w:val="false"/>
          <w:i w:val="false"/>
          <w:iCs w:val="false"/>
        </w:rPr>
        <w:t xml:space="preserve">One reviewer asked how G can be among the six readings whose product gives G. Gravity is one object in two roles. The count uses one role. The G-face is a reading of the landed grain. It is what stabilises the grain. It is one of the six constraints. It passes the neck like the other five. It is three of the eighteen. It enters as a face, never as a value. Gravity as the neck is what holds the reading conditions in place. “What keeps the hourglass intact.” The ring at which all twenty-one converge. The neck is not a gate. It is what the gates compound to. The value of G is what the ring gives. It is not a term in the product that gives it. No circle. In the author’s words, as description and not as a number: “alpha only holds the phase coupling in the visible universe; gravity holds the entire hourglass in place.”</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Product over sum: Derived. A completed exchange: Ruled, with the author’s reason. The per-gate worth α: Identified. Independence: Stated at the structural register and fenced. The two roles: Derived from the definitions.</w:t>
      </w:r>
    </w:p>
    <w:p>
      <w:pPr>
        <w:spacing w:after="160" w:before="0" w:line="300"/>
      </w:pPr>
      <w:r>
        <w:rPr>
          <w:rFonts w:ascii="Atkinson Hyperlegible" w:cs="Atkinson Hyperlegible" w:eastAsia="Atkinson Hyperlegible" w:hAnsi="Atkinson Hyperlegible"/>
          <w:b/>
          <w:bCs/>
          <w:i w:val="false"/>
          <w:iCs w:val="false"/>
        </w:rPr>
        <w:t xml:space="preserve">Kill switches</w:t>
      </w:r>
    </w:p>
    <w:p>
      <w:pPr>
        <w:spacing w:after="100" w:before="0" w:line="300"/>
        <w:ind w:left="400"/>
      </w:pPr>
      <w:r>
        <w:rPr>
          <w:rFonts w:ascii="Atkinson Hyperlegible" w:cs="Atkinson Hyperlegible" w:eastAsia="Atkinson Hyperlegible" w:hAnsi="Atkinson Hyperlegible"/>
        </w:rPr>
        <w:t>KS-R.8c (AP28) — Fires if the joint passage of the twenty-one gates is shown to be other than α²¹: a power k &lt; 21, the gates conditioned on a shared event; or any dependence among the gates, of any order, pairwise or higher, that changes the joint measure and does not reduce to a shared face (AP24) or a shared dimension (AP10). Or the eighteen ropes of AP48 §1 shown to be one holding read eighteen ways — one exchange, worth α, and the exponent collapses. The old clause could not fire. This one can. A third party can state what would fire it. By dated note.</w:t>
      </w:r>
    </w:p>
    <w:p>
      <w:pPr>
        <w:spacing w:after="100" w:before="0" w:line="300"/>
        <w:ind w:left="400"/>
      </w:pPr>
      <w:r>
        <w:rPr>
          <w:rFonts w:ascii="Atkinson Hyperlegible" w:cs="Atkinson Hyperlegible" w:eastAsia="Atkinson Hyperlegible" w:hAnsi="Atkinson Hyperlegible"/>
        </w:rPr>
        <w:t xml:space="preserve">KS-R.8d (AP28) — Fires if any gate is shown to contribute other than one completed exchange, α. A single vertex, √α. A worth that differs from gate to gate. A worth that is not the fine-structure constant at zero momentum transfer (§10). Restated as the fence on the identification. By dated note.</w:t>
      </w:r>
    </w:p>
    <w:p>
      <w:pPr>
        <w:spacing w:after="160" w:before="0" w:line="300"/>
      </w:pPr>
      <w:r>
        <w:rPr>
          <w:rFonts w:ascii="Atkinson Hyperlegible" w:cs="Atkinson Hyperlegible" w:eastAsia="Atkinson Hyperlegible" w:hAnsi="Atkinson Hyperlegible"/>
          <w:b/>
          <w:bCs/>
          <w:i w:val="false"/>
          <w:iCs w:val="false"/>
        </w:rPr>
        <w:t xml:space="preserve">Connections. </w:t>
      </w:r>
      <w:r>
        <w:rPr>
          <w:rFonts w:ascii="Atkinson Hyperlegible" w:cs="Atkinson Hyperlegible" w:eastAsia="Atkinson Hyperlegible" w:hAnsi="Atkinson Hyperlegible"/>
          <w:b w:val="false"/>
          <w:bCs w:val="false"/>
          <w:i w:val="false"/>
          <w:iCs w:val="false"/>
        </w:rPr>
        <w:t xml:space="preserve">The completed exchange is what §6 prices: one act, one α. It is what AP51 reads: the reader is the second grain. The conjunction is why the exponent is the count. The identification is why the base is measured.</w:t>
      </w:r>
    </w:p>
    <w:p>
      <w:pPr>
        <w:spacing w:after="160" w:before="120" w:line="300"/>
      </w:pPr>
      <w:r>
        <w:rPr>
          <w:rFonts w:ascii="Atkinson Hyperlegible" w:cs="Atkinson Hyperlegible" w:eastAsia="Atkinson Hyperlegible" w:hAnsi="Atkinson Hyperlegible"/>
          <w:b w:val="false"/>
          <w:bCs w:val="false"/>
          <w:i/>
          <w:iCs/>
        </w:rPr>
        <w:t xml:space="preserve">The exponent is where the structure is. The base is where the one measured input is. The paper says both, so neither is mistaken for the other.</w:t>
      </w:r>
    </w:p>
    <w:p>
      <w:r>
        <w:br w:type="page"/>
      </w:r>
    </w:p>
    <w:p>
      <w:pPr>
        <w:pStyle w:val="Heading1"/>
        <w:spacing w:after="240" w:before="480"/>
      </w:pPr>
      <w:r>
        <w:t xml:space="preserve">6 — The Commitment Is the Break Held</w:t>
      </w:r>
    </w:p>
    <w:p>
      <w:pPr>
        <w:spacing w:after="160" w:before="0" w:line="300"/>
      </w:pPr>
      <w:r>
        <w:rPr>
          <w:rFonts w:ascii="Atkinson Hyperlegible" w:cs="Atkinson Hyperlegible" w:eastAsia="Atkinson Hyperlegible" w:hAnsi="Atkinson Hyperlegible"/>
          <w:b w:val="false"/>
          <w:bCs w:val="false"/>
          <w:i/>
          <w:iCs/>
        </w:rPr>
        <w:t xml:space="preserve">AP44 graded its ε honestly as selected. Here it becomes a reading. And the rule is met by an instance it was not written for.</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The commitment of AP44 is the arena’s act of holding the break. The break is the tipped state, in which one grain is always uncoupled. The commitment is not a grain. An act of holding is read in α, once. It has no aperture. So it has no geometric factor. Therefore ε = α in the quotient by rule. Not by selection. The landed is read as mass. AP44 §4’s Corollary already books it there. AP49’s holders are in α. They were written two days before the rule existed. They are the instance the rule was not fitted to. D-CCC.4 closes on the rule.</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The universe had to hold the break open. Otherwise it would have healed. Holding costs. The cost of holding is paid in the currency of holding. That currency is coupling. Not because α was the best candidate on a list. Because a holding is what α measures. The first draft of this section said the ε “is held”. A reviewer caught it at once. The held is mass. The act is not.</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AP44 §3 Proposition 2 (the constitution ε is held). AP44 §4 Corollary (a configuration’s held ε is a constituent of its mass, AP29). AP44 §5 (SELECTED; D-CCC.4). AP06 §0.7. §3 here. AP49 §4. The author’s rulings.</w:t>
      </w:r>
    </w:p>
    <w:p>
      <w:pPr>
        <w:spacing w:after="160" w:before="0" w:line="300"/>
      </w:pPr>
      <w:r>
        <w:rPr>
          <w:rFonts w:ascii="Atkinson Hyperlegible" w:cs="Atkinson Hyperlegible" w:eastAsia="Atkinson Hyperlegible" w:hAnsi="Atkinson Hyperlegible"/>
          <w:b/>
          <w:bCs/>
          <w:i w:val="false"/>
          <w:iCs w:val="false"/>
        </w:rPr>
        <w:t xml:space="preserve">Ruling — the commitment is an act (the author). </w:t>
      </w:r>
      <w:r>
        <w:rPr>
          <w:rFonts w:ascii="Atkinson Hyperlegible" w:cs="Atkinson Hyperlegible" w:eastAsia="Atkinson Hyperlegible" w:hAnsi="Atkinson Hyperlegible"/>
          <w:b w:val="false"/>
          <w:bCs w:val="false"/>
          <w:i w:val="false"/>
          <w:iCs w:val="false"/>
        </w:rPr>
        <w:t xml:space="preserve">“The break holds the symmetry broken and the grains flow through the break — the break must hold.” The commitment is “the act of coupling and holding of the coupling configuration based on the constraints of the constants”. “Alpha is the coupler and the reader.”</w:t>
      </w:r>
    </w:p>
    <w:p>
      <w:pPr>
        <w:spacing w:after="160" w:before="0" w:line="300"/>
      </w:pPr>
      <w:r>
        <w:rPr>
          <w:rFonts w:ascii="Atkinson Hyperlegible" w:cs="Atkinson Hyperlegible" w:eastAsia="Atkinson Hyperlegible" w:hAnsi="Atkinson Hyperlegible"/>
          <w:b/>
          <w:bCs/>
          <w:i w:val="false"/>
          <w:iCs w:val="false"/>
        </w:rPr>
        <w:t xml:space="preserve">Theorem — read in α by rule. </w:t>
      </w:r>
      <w:r>
        <w:rPr>
          <w:rFonts w:ascii="Atkinson Hyperlegible" w:cs="Atkinson Hyperlegible" w:eastAsia="Atkinson Hyperlegible" w:hAnsi="Atkinson Hyperlegible"/>
          <w:b w:val="false"/>
          <w:bCs w:val="false"/>
          <w:i w:val="false"/>
          <w:iCs w:val="false"/>
        </w:rPr>
        <w:t xml:space="preserve">What the arena holds is the break. The tip. The state in which one grain is always uncoupled. Not a grain. The neck’s grain is what the break leaves uncoupled. It is read at the neck’s measure (§2, §8). It is not landed. It is not mass. The act of holding the break is the arena’s. (1 + ε) prices the act in the currency of holding. The act is a holding. A holding is read in α (§3). So the commitment is read in α. The operation it is has one reading. AP06 §0.7’s domain values are leakage ratios of absorbing systems. They are readings of a different operation at a different boundary. They were never candidates for the reading of a holding.</w:t>
      </w:r>
    </w:p>
    <w:p>
      <w:pPr>
        <w:spacing w:after="160" w:before="0" w:line="300"/>
      </w:pPr>
      <w:r>
        <w:rPr>
          <w:rFonts w:ascii="Atkinson Hyperlegible" w:cs="Atkinson Hyperlegible" w:eastAsia="Atkinson Hyperlegible" w:hAnsi="Atkinson Hyperlegible"/>
          <w:b/>
          <w:bCs/>
          <w:i w:val="false"/>
          <w:iCs w:val="false"/>
        </w:rPr>
        <w:t xml:space="preserve">Theorem — why exactly α. </w:t>
      </w:r>
      <w:r>
        <w:rPr>
          <w:rFonts w:ascii="Atkinson Hyperlegible" w:cs="Atkinson Hyperlegible" w:eastAsia="Atkinson Hyperlegible" w:hAnsi="Atkinson Hyperlegible"/>
          <w:b w:val="false"/>
          <w:bCs w:val="false"/>
          <w:i w:val="false"/>
          <w:iCs w:val="false"/>
        </w:rPr>
        <w:t xml:space="preserve">One act of holding the break is one completed exchange (§5). It is worth α, once. A geometric factor enters only through a measure. The neck’s π is the aperture’s. The act of holding has no aperture. It is the coupling itself.</w:t>
      </w:r>
    </w:p>
    <w:p>
      <w:pPr>
        <w:spacing w:after="160" w:before="0" w:line="300"/>
      </w:pPr>
      <w:r>
        <w:rPr>
          <w:rFonts w:ascii="Atkinson Hyperlegible" w:cs="Atkinson Hyperlegible" w:eastAsia="Atkinson Hyperlegible" w:hAnsi="Atkinson Hyperlegible"/>
          <w:b/>
          <w:bCs/>
          <w:i w:val="false"/>
          <w:iCs w:val="false"/>
        </w:rPr>
        <w:t xml:space="preserve">Theorem — the rule discriminates. </w:t>
      </w:r>
      <w:r>
        <w:rPr>
          <w:rFonts w:ascii="Atkinson Hyperlegible" w:cs="Atkinson Hyperlegible" w:eastAsia="Atkinson Hyperlegible" w:hAnsi="Atkinson Hyperlegible"/>
          <w:b w:val="false"/>
          <w:bCs w:val="false"/>
          <w:i w:val="false"/>
          <w:iCs w:val="false"/>
        </w:rPr>
        <w:t xml:space="preserve">Had the constitution been a landed grain rather than an act, it would be read as mass. That is where AP44 §4’s Corollary books every configuration’s own commitment. One rule. Two destinations. Both written before the rule.</w:t>
      </w:r>
    </w:p>
    <w:p>
      <w:pPr>
        <w:spacing w:after="160" w:before="0" w:line="300"/>
      </w:pPr>
      <w:r>
        <w:rPr>
          <w:rFonts w:ascii="Atkinson Hyperlegible" w:cs="Atkinson Hyperlegible" w:eastAsia="Atkinson Hyperlegible" w:hAnsi="Atkinson Hyperlegible"/>
          <w:b/>
          <w:bCs/>
          <w:i w:val="false"/>
          <w:iCs w:val="false"/>
        </w:rPr>
        <w:t xml:space="preserve">The instance not written for. </w:t>
      </w:r>
      <w:r>
        <w:rPr>
          <w:rFonts w:ascii="Atkinson Hyperlegible" w:cs="Atkinson Hyperlegible" w:eastAsia="Atkinson Hyperlegible" w:hAnsi="Atkinson Hyperlegible"/>
          <w:b w:val="false"/>
          <w:bCs w:val="false"/>
          <w:i w:val="false"/>
          <w:iCs w:val="false"/>
        </w:rPr>
        <w:t xml:space="preserve">A rule that only lands on AP44’s value and AP44’s Corollary is fitted twice. AP49’s holders are different. The repair is held. The holding of the repair is held. And so on. Their share is r = 16α/1836: “the hold’s sixteen expressions at the substrate’s rate”. The substrate’s rate is α. A holding, read in α. Written two days before anyone said a holding is read in α. The author, asked: “yes — 4 conditions held over time in 3 dimensions — one time — yes.” The rule met, not fitted.</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Read by rule. A rule on the picture, with three instances. Stated and fenced. Not a uniqueness theorem. It names the operation the constitution is. It names what that operation reads in. It names the counterexample that kills it. D-CCC.4 closes on it at lock.</w:t>
      </w:r>
    </w:p>
    <w:p>
      <w:pPr>
        <w:spacing w:after="160" w:before="0" w:line="300"/>
      </w:pPr>
      <w:r>
        <w:rPr>
          <w:rFonts w:ascii="Atkinson Hyperlegible" w:cs="Atkinson Hyperlegible" w:eastAsia="Atkinson Hyperlegible" w:hAnsi="Atkinson Hyperlegible"/>
          <w:b/>
          <w:bCs/>
          <w:i w:val="false"/>
          <w:iCs w:val="false"/>
        </w:rPr>
        <w:t xml:space="preserve">Kill switches</w:t>
      </w:r>
    </w:p>
    <w:p>
      <w:pPr>
        <w:spacing w:after="100" w:before="0" w:line="300"/>
        <w:ind w:left="400"/>
      </w:pPr>
      <w:r>
        <w:rPr>
          <w:rFonts w:ascii="Atkinson Hyperlegible" w:cs="Atkinson Hyperlegible" w:eastAsia="Atkinson Hyperlegible" w:hAnsi="Atkinson Hyperlegible"/>
        </w:rPr>
        <w:t>KS-NECK.3 — The holding’s currency. Fires if the constitution is shown to be a landed grain rather than an act. Or if the commitment’s coefficient is shown to be a function of α other than α itself. LIVE — STRUCTURAL.</w:t>
      </w:r>
    </w:p>
    <w:p>
      <w:pPr>
        <w:spacing w:after="100" w:before="0" w:line="300"/>
        <w:ind w:left="400"/>
      </w:pPr>
      <w:r>
        <w:rPr>
          <w:rFonts w:ascii="Atkinson Hyperlegible" w:cs="Atkinson Hyperlegible" w:eastAsia="Atkinson Hyperlegible" w:hAnsi="Atkinson Hyperlegible"/>
        </w:rPr>
        <w:t xml:space="preserve">KS-CCC.1 (AP44) — Fires if the constitution is shown to be a different operation from an act of holding, disclosed or not. It binds the order of events in §2. Sharpened by dated note.</w:t>
      </w:r>
    </w:p>
    <w:p>
      <w:pPr>
        <w:spacing w:after="160" w:before="0" w:line="300"/>
      </w:pPr>
      <w:r>
        <w:rPr>
          <w:rFonts w:ascii="Atkinson Hyperlegible" w:cs="Atkinson Hyperlegible" w:eastAsia="Atkinson Hyperlegible" w:hAnsi="Atkinson Hyperlegible"/>
          <w:b/>
          <w:bCs/>
          <w:i w:val="false"/>
          <w:iCs w:val="false"/>
        </w:rPr>
        <w:t xml:space="preserve">Connections. </w:t>
      </w:r>
      <w:r>
        <w:rPr>
          <w:rFonts w:ascii="Atkinson Hyperlegible" w:cs="Atkinson Hyperlegible" w:eastAsia="Atkinson Hyperlegible" w:hAnsi="Atkinson Hyperlegible"/>
          <w:b w:val="false"/>
          <w:bCs w:val="false"/>
          <w:i w:val="false"/>
          <w:iCs w:val="false"/>
        </w:rPr>
        <w:t xml:space="preserve">The quotient’s form is §7’s. Its currency is this section’s. AP51 reads the same act from inside: the operator holding the break is the reader.</w:t>
      </w:r>
    </w:p>
    <w:p>
      <w:pPr>
        <w:spacing w:after="160" w:before="120" w:line="300"/>
      </w:pPr>
      <w:r>
        <w:rPr>
          <w:rFonts w:ascii="Atkinson Hyperlegible" w:cs="Atkinson Hyperlegible" w:eastAsia="Atkinson Hyperlegible" w:hAnsi="Atkinson Hyperlegible"/>
          <w:b w:val="false"/>
          <w:bCs w:val="false"/>
          <w:i/>
          <w:iCs/>
        </w:rPr>
        <w:t xml:space="preserve">A holding is what α measures. The arena’s first act was a holding.</w:t>
      </w:r>
    </w:p>
    <w:p>
      <w:r>
        <w:br w:type="page"/>
      </w:r>
    </w:p>
    <w:p>
      <w:pPr>
        <w:pStyle w:val="Heading1"/>
        <w:spacing w:after="240" w:before="480"/>
      </w:pPr>
      <w:r>
        <w:t xml:space="preserve">7 — The Leak of the Leak</w:t>
      </w:r>
    </w:p>
    <w:p>
      <w:pPr>
        <w:spacing w:after="160" w:before="0" w:line="300"/>
      </w:pPr>
      <w:r>
        <w:rPr>
          <w:rFonts w:ascii="Atkinson Hyperlegible" w:cs="Atkinson Hyperlegible" w:eastAsia="Atkinson Hyperlegible" w:hAnsi="Atkinson Hyperlegible"/>
          <w:b w:val="false"/>
          <w:bCs w:val="false"/>
          <w:i/>
          <w:iCs/>
        </w:rPr>
        <w:t xml:space="preserve">Two forms of one small correction. The rule for which goes where. The author pointed at AP49. AP49 had it.</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A leak that must be held chains with a constant share. A chain closes as a quotient. Booked against what is held, it closes as 1/(1 + ε). That is the arena’s commitment. Booked as resistance, it closes as 1/(1 − r). That is the proton’s holders. A returned leak is not an expression. It is one term. It multiplies. No frozen number moves.</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A hold leaks. The leak has to be held. That holding leaks. The leak of the leak of the leak. There is no taking anywhere in it. “Just leaks, and leaks accumulate and compound.” Add them up and you get a division. Not a subtraction. Which way the division goes depends on one thing. What the leak is charged against: what the thing holds, or what it resists with.</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AP44 §5 (“a quotient because the axiom is a sum”). The A14 ruling of 8 September (the multiplier; “a returned leak is not an expression”). AP49 §4 (the chain of holders, 21α·r/(1 − r)). The author’s Q5 ruling (the arena’s leak is a share of what it holds).</w:t>
      </w:r>
    </w:p>
    <w:p>
      <w:pPr>
        <w:spacing w:after="160" w:before="0" w:line="300"/>
      </w:pPr>
      <w:r>
        <w:rPr>
          <w:rFonts w:ascii="Atkinson Hyperlegible" w:cs="Atkinson Hyperlegible" w:eastAsia="Atkinson Hyperlegible" w:hAnsi="Atkinson Hyperlegible"/>
          <w:b/>
          <w:bCs/>
          <w:i w:val="false"/>
          <w:iCs w:val="false"/>
        </w:rPr>
        <w:t xml:space="preserve">Theorem — one chain. </w:t>
      </w:r>
      <w:r>
        <w:rPr>
          <w:rFonts w:ascii="Atkinson Hyperlegible" w:cs="Atkinson Hyperlegible" w:eastAsia="Atkinson Hyperlegible" w:hAnsi="Atkinson Hyperlegible"/>
          <w:b w:val="false"/>
          <w:bCs w:val="false"/>
          <w:i w:val="false"/>
          <w:iCs w:val="false"/>
        </w:rPr>
        <w:t xml:space="preserve">Each leak is a share of what leaks it. The same share every time. In the arena’s booking it is a share of what is held. That is the fixed point below. In the proton’s it is a share of the last rung, added. Either way it is a geometric chain. A geometric chain closes as a quotient. Not a convention. What a geometric series is.</w:t>
      </w:r>
    </w:p>
    <w:p>
      <w:pPr>
        <w:spacing w:after="160" w:before="0" w:line="300"/>
      </w:pPr>
      <w:r>
        <w:rPr>
          <w:rFonts w:ascii="Atkinson Hyperlegible" w:cs="Atkinson Hyperlegible" w:eastAsia="Atkinson Hyperlegible" w:hAnsi="Atkinson Hyperlegible"/>
          <w:b/>
          <w:bCs/>
          <w:i w:val="false"/>
          <w:iCs w:val="false"/>
        </w:rPr>
        <w:t xml:space="preserve">Theorem — two bookings. </w:t>
      </w:r>
      <w:r>
        <w:rPr>
          <w:rFonts w:ascii="Atkinson Hyperlegible" w:cs="Atkinson Hyperlegible" w:eastAsia="Atkinson Hyperlegible" w:hAnsi="Atkinson Hyperlegible"/>
          <w:b w:val="false"/>
          <w:bCs w:val="false"/>
          <w:i w:val="false"/>
          <w:iCs w:val="false"/>
        </w:rPr>
        <w:t xml:space="preserve">AP49 books the holders’ leaks as resistance. Each holding adds its cost to what the proton resists with. The chain is M₀(1 + r + r² + …). It closes as M₀/(1 − r). The leak of the leak adds. AP44 books the arena’s leak against what the arena holds. The arena holds X of what it provisioned. It leaks a share ε of what it holds. Not of what it provisioned. So X = X₀ − εX. So X = X₀/(1 + ε). The author, asked whether the arena’s commitment is a share of what is realised: “Yes.” Expanded, X₀(1 − ε + ε² − …) alternates. The alternation is the leak of the leak in this booking. The leak reduces the held. So the next leak is a share of less. So it reduces less. The leak of a leak is a smaller leak. Not a return. Same chain. Same share at every rung. The sign is which the leak is booked against. What resists: added. What is held: reduced. Both are the fixed point of a chain. The fixed point is a quotient.</w:t>
      </w:r>
    </w:p>
    <w:p>
      <w:pPr>
        <w:spacing w:after="160" w:before="0" w:line="300"/>
      </w:pPr>
      <w:r>
        <w:rPr>
          <w:rFonts w:ascii="Atkinson Hyperlegible" w:cs="Atkinson Hyperlegible" w:eastAsia="Atkinson Hyperlegible" w:hAnsi="Atkinson Hyperlegible"/>
          <w:b/>
          <w:bCs/>
          <w:i w:val="false"/>
          <w:iCs w:val="false"/>
        </w:rPr>
        <w:t xml:space="preserve">Theorem — one term. </w:t>
      </w:r>
      <w:r>
        <w:rPr>
          <w:rFonts w:ascii="Atkinson Hyperlegible" w:cs="Atkinson Hyperlegible" w:eastAsia="Atkinson Hyperlegible" w:hAnsi="Atkinson Hyperlegible"/>
          <w:b w:val="false"/>
          <w:bCs w:val="false"/>
          <w:i w:val="false"/>
          <w:iCs w:val="false"/>
        </w:rPr>
        <w:t xml:space="preserve">A returned leak holds nothing. So nothing holds it. So it leaks nothing further. One term. A multiplier, (1 − x). That is A14, read at a leak that does not chain.</w:t>
      </w:r>
    </w:p>
    <w:p>
      <w:pPr>
        <w:spacing w:after="160" w:before="0" w:line="300"/>
      </w:pPr>
      <w:r>
        <w:rPr>
          <w:rFonts w:ascii="Atkinson Hyperlegible" w:cs="Atkinson Hyperlegible" w:eastAsia="Atkinson Hyperlegible" w:hAnsi="Atkinson Hyperlegible"/>
          <w:b/>
          <w:bCs/>
          <w:i w:val="false"/>
          <w:iCs w:val="false"/>
        </w:rPr>
        <w:t xml:space="preserve">No frozen number moves. </w:t>
      </w:r>
      <w:r>
        <w:rPr>
          <w:rFonts w:ascii="Atkinson Hyperlegible" w:cs="Atkinson Hyperlegible" w:eastAsia="Atkinson Hyperlegible" w:hAnsi="Atkinson Hyperlegible"/>
          <w:b w:val="false"/>
          <w:bCs w:val="false"/>
          <w:i w:val="false"/>
          <w:iCs w:val="false"/>
        </w:rPr>
        <w:t xml:space="preserve">Every frozen row was computed in the convention its paper states. The rule changes none of them. The two forms differ at second order. 53 parts per million in G. 4.5 × 10⁻¹² at the neutron’s flip (AP47, where the leak is α²/8π). At G that is above the measurement’s uncertainty and below the residual AP44 carries. So it cannot be decided there. At the neutron it is far below anything measured. That difference is real. The rule says which form each site takes. So it is not chosen there later. AP49 §0.7 had recorded the question. This answers it.</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The booking: Ruled. The forms: Derived.</w:t>
      </w:r>
    </w:p>
    <w:p>
      <w:pPr>
        <w:spacing w:after="160" w:before="0" w:line="300"/>
      </w:pPr>
      <w:r>
        <w:rPr>
          <w:rFonts w:ascii="Atkinson Hyperlegible" w:cs="Atkinson Hyperlegible" w:eastAsia="Atkinson Hyperlegible" w:hAnsi="Atkinson Hyperlegible"/>
          <w:b/>
          <w:bCs/>
          <w:i w:val="false"/>
          <w:iCs w:val="false"/>
        </w:rPr>
        <w:t xml:space="preserve">Kill switches</w:t>
      </w:r>
    </w:p>
    <w:p>
      <w:pPr>
        <w:spacing w:after="100" w:before="0" w:line="300"/>
        <w:ind w:left="400"/>
      </w:pPr>
      <w:r>
        <w:rPr>
          <w:rFonts w:ascii="Atkinson Hyperlegible" w:cs="Atkinson Hyperlegible" w:eastAsia="Atkinson Hyperlegible" w:hAnsi="Atkinson Hyperlegible"/>
        </w:rPr>
        <w:t>KS-NECK.4 — The leak of the leak. Fires on a site where a returned leak is shown to chain. Or a held leak shown not to. Or a chain’s share shown to vary rung to rung. Or a booking shown to be neither of the two. LIVE — STRUCTURAL.</w:t>
      </w:r>
    </w:p>
    <w:p>
      <w:pPr>
        <w:spacing w:after="160" w:before="0" w:line="300"/>
      </w:pPr>
      <w:r>
        <w:rPr>
          <w:rFonts w:ascii="Atkinson Hyperlegible" w:cs="Atkinson Hyperlegible" w:eastAsia="Atkinson Hyperlegible" w:hAnsi="Atkinson Hyperlegible"/>
          <w:b/>
          <w:bCs/>
          <w:i w:val="false"/>
          <w:iCs w:val="false"/>
        </w:rPr>
        <w:t xml:space="preserve">Connections. </w:t>
      </w:r>
      <w:r>
        <w:rPr>
          <w:rFonts w:ascii="Atkinson Hyperlegible" w:cs="Atkinson Hyperlegible" w:eastAsia="Atkinson Hyperlegible" w:hAnsi="Atkinson Hyperlegible"/>
          <w:b w:val="false"/>
          <w:bCs w:val="false"/>
          <w:i w:val="false"/>
          <w:iCs w:val="false"/>
        </w:rPr>
        <w:t xml:space="preserve">The chain is AP49’s. The currency of the arena’s rung is §6’s. The family’s higher orders are this rule’s prediction.</w:t>
      </w:r>
    </w:p>
    <w:p>
      <w:pPr>
        <w:spacing w:after="160" w:before="120" w:line="300"/>
      </w:pPr>
      <w:r>
        <w:rPr>
          <w:rFonts w:ascii="Atkinson Hyperlegible" w:cs="Atkinson Hyperlegible" w:eastAsia="Atkinson Hyperlegible" w:hAnsi="Atkinson Hyperlegible"/>
          <w:b w:val="false"/>
          <w:bCs w:val="false"/>
          <w:i/>
          <w:iCs/>
        </w:rPr>
        <w:t xml:space="preserve">There is no taking. Just leaks. And leaks compound.</w:t>
      </w:r>
    </w:p>
    <w:p>
      <w:r>
        <w:br w:type="page"/>
      </w:r>
    </w:p>
    <w:p>
      <w:pPr>
        <w:pStyle w:val="Heading1"/>
        <w:spacing w:after="240" w:before="480"/>
      </w:pPr>
      <w:r>
        <w:t xml:space="preserve">8 — One Grain Uncoupled, Always</w:t>
      </w:r>
    </w:p>
    <w:p>
      <w:pPr>
        <w:spacing w:after="160" w:before="0" w:line="300"/>
      </w:pPr>
      <w:r>
        <w:rPr>
          <w:rFonts w:ascii="Atkinson Hyperlegible" w:cs="Atkinson Hyperlegible" w:eastAsia="Atkinson Hyperlegible" w:hAnsi="Atkinson Hyperlegible"/>
          <w:b w:val="false"/>
          <w:bCs w:val="false"/>
          <w:i/>
          <w:iCs/>
        </w:rPr>
        <w:t xml:space="preserve">AP44 read one ε twice and called it an extension. Here it is two states of one grain. And the bound that keeps it at two.</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At every now exactly one grain is uncoupled. It is the one in the neck, being written. It is the axiom’s +1×ε. It is read at the neck’s measure. Every landed grain is coupled and held. The arena’s commitment is the holding of the break, the tipped state, read in α. A configuration’s own commitments are held in it as mass (AP44 §4). The two factors of the realised coupling read two states: the uncoupled and the held. The three factors of α_G∗ are three quantities of three things. There is no third operation on a grain inside G’s instrument.</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There is always a grain in the neck. There has to be. If the last one landed and everything balanced, nothing could be written or read. That grain is not the same object as the pile it will join. One is falling. The other is held. You measure the falling grain by the opening it fills. You measure the held pile by what it costs to keep. Different numbers. Different things.</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AP44 §7 Proposition 6 and KS-CCC.6. The author’s rulings (“one grain stays uncoupled — always +1×ε”). §§2, 3, 6, 7 here. AP45, AP46 (the flow priced per event and per persistence).</w:t>
      </w:r>
    </w:p>
    <w:p>
      <w:pPr>
        <w:spacing w:after="160" w:before="0" w:line="300"/>
      </w:pPr>
      <w:r>
        <w:rPr>
          <w:rFonts w:ascii="Atkinson Hyperlegible" w:cs="Atkinson Hyperlegible" w:eastAsia="Atkinson Hyperlegible" w:hAnsi="Atkinson Hyperlegible"/>
          <w:b/>
          <w:bCs/>
          <w:i w:val="false"/>
          <w:iCs w:val="false"/>
        </w:rPr>
        <w:t xml:space="preserve">Ruling — the uncoupled grain (the author). </w:t>
      </w:r>
      <w:r>
        <w:rPr>
          <w:rFonts w:ascii="Atkinson Hyperlegible" w:cs="Atkinson Hyperlegible" w:eastAsia="Atkinson Hyperlegible" w:hAnsi="Atkinson Hyperlegible"/>
          <w:b w:val="false"/>
          <w:bCs w:val="false"/>
          <w:i w:val="false"/>
          <w:iCs w:val="false"/>
        </w:rPr>
        <w:t xml:space="preserve">“One grain stays uncoupled in the process — the one uncoupled — and its record actualises and gets written in the neck.” “There must also be one left over — otherwise perfect balance will return and the universe will balance out.” “Never completely actualised and balanced — always +1×ε.” The passage is “the uncoupled grain being aware of coupling configuration opportunities, which likely possible outcome is a function of the record history landscape — and the grain is both the reader and the coupler and the coupling, now.”</w:t>
      </w:r>
    </w:p>
    <w:p>
      <w:pPr>
        <w:spacing w:after="160" w:before="0" w:line="300"/>
      </w:pPr>
      <w:r>
        <w:rPr>
          <w:rFonts w:ascii="Atkinson Hyperlegible" w:cs="Atkinson Hyperlegible" w:eastAsia="Atkinson Hyperlegible" w:hAnsi="Atkinson Hyperlegible"/>
          <w:b/>
          <w:bCs/>
          <w:i w:val="false"/>
          <w:iCs w:val="false"/>
        </w:rPr>
        <w:t xml:space="preserve">Theorem — two states, two readings. </w:t>
      </w:r>
      <w:r>
        <w:rPr>
          <w:rFonts w:ascii="Atkinson Hyperlegible" w:cs="Atkinson Hyperlegible" w:eastAsia="Atkinson Hyperlegible" w:hAnsi="Atkinson Hyperlegible"/>
          <w:b w:val="false"/>
          <w:bCs w:val="false"/>
          <w:i w:val="false"/>
          <w:iCs w:val="false"/>
        </w:rPr>
        <w:t xml:space="preserve">The neck’s grain: uncoupled. Being written. Read at the neck’s measure. No α, because it has not coupled. The arena: holding the break. The holding read in α (§6). The landed configuration: coupled and held. Its own commitments as mass. Different state. Different operation. Different measure. The passage is read once: the writing of the uncoupled grain now. The click is not a reading of the passage. It is the count of passages: time (§3). “The uncoupled grain” and “the coupling event being actualised” are one thing under two names.</w:t>
      </w:r>
    </w:p>
    <w:p>
      <w:pPr>
        <w:spacing w:after="160" w:before="0" w:line="300"/>
      </w:pPr>
      <w:r>
        <w:rPr>
          <w:rFonts w:ascii="Atkinson Hyperlegible" w:cs="Atkinson Hyperlegible" w:eastAsia="Atkinson Hyperlegible" w:hAnsi="Atkinson Hyperlegible"/>
          <w:b/>
          <w:bCs/>
          <w:i w:val="false"/>
          <w:iCs w:val="false"/>
        </w:rPr>
        <w:t xml:space="preserve">Theorem — three factors, three things. </w:t>
      </w:r>
      <w:r>
        <w:rPr>
          <w:rFonts w:ascii="Atkinson Hyperlegible" w:cs="Atkinson Hyperlegible" w:eastAsia="Atkinson Hyperlegible" w:hAnsi="Atkinson Hyperlegible"/>
          <w:b w:val="false"/>
          <w:bCs w:val="false"/>
          <w:i w:val="false"/>
          <w:iCs w:val="false"/>
        </w:rPr>
        <w:t xml:space="preserve">α_G∗ = α²¹ × (1 + 1/π) / (1 + α). The first is the gates’ conjunction. A coupling: twenty-one completed exchanges of the grain that lands. The second is the neck’s grain added to the balanced twenty-one. A geometry: one grain over its own aperture. The 1:1 + 1×ε of the axiom written into the coupling (AP28 §6). The third is the arena’s act of holding the break. A share of what it holds (§7). A coupling, a geometry, a share. Three quantities of three things. That is why none counts another. That they compose as a product is the rule AP28 and AP44 write. This paper keeps it and does not prove it.</w:t>
      </w:r>
    </w:p>
    <w:p>
      <w:pPr>
        <w:spacing w:after="160" w:before="0" w:line="300"/>
      </w:pPr>
      <w:r>
        <w:rPr>
          <w:rFonts w:ascii="Atkinson Hyperlegible" w:cs="Atkinson Hyperlegible" w:eastAsia="Atkinson Hyperlegible" w:hAnsi="Atkinson Hyperlegible"/>
          <w:b/>
          <w:bCs/>
          <w:i w:val="false"/>
          <w:iCs w:val="false"/>
        </w:rPr>
        <w:t xml:space="preserve">Ruling — the bound (the author, fenced). </w:t>
      </w:r>
      <w:r>
        <w:rPr>
          <w:rFonts w:ascii="Atkinson Hyperlegible" w:cs="Atkinson Hyperlegible" w:eastAsia="Atkinson Hyperlegible" w:hAnsi="Atkinson Hyperlegible"/>
          <w:b w:val="false"/>
          <w:bCs w:val="false"/>
          <w:i w:val="false"/>
          <w:iCs w:val="false"/>
        </w:rPr>
        <w:t>A rule of its own, beside §3’s. 1/π is not a face. One factor per operation on the grain inside the instrument of G. The operations on one grain inside that instrument are the two before the flow. The neck, read at its measure. The holding, read in α. The flow is the third operation. It is not in this instrument. It is priced per event (AP45) and per persistence (AP46). A factor from it in G would count one cost twice. The bound is ruled and fenced. Not proved. What would exhibit a third: the flow’s cost, priced per blink in AP45, entering G as a further factor; or any operation on the grain that is neither the neck’s geometry nor the holding’s act — a deformation of the grain, a rotation independent of the aperture, a coupling that changes the passage without changing the aperture or the holding. The bound excludes these by ruling: the instrument of G contains the neck and the holding, and nothing else. KS-CCC.6 fires on any of them.</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The uncoupled grain and the held configuration: Ruled. Two readings and three factors: Derived. The bound: Ruled, fenced.</w:t>
      </w:r>
    </w:p>
    <w:p>
      <w:pPr>
        <w:spacing w:after="160" w:before="0" w:line="300"/>
      </w:pPr>
      <w:r>
        <w:rPr>
          <w:rFonts w:ascii="Atkinson Hyperlegible" w:cs="Atkinson Hyperlegible" w:eastAsia="Atkinson Hyperlegible" w:hAnsi="Atkinson Hyperlegible"/>
          <w:b/>
          <w:bCs/>
          <w:i w:val="false"/>
          <w:iCs w:val="false"/>
        </w:rPr>
        <w:t xml:space="preserve">Kill switches</w:t>
      </w:r>
    </w:p>
    <w:p>
      <w:pPr>
        <w:spacing w:after="100" w:before="0" w:line="300"/>
        <w:ind w:left="400"/>
      </w:pPr>
      <w:r>
        <w:rPr>
          <w:rFonts w:ascii="Atkinson Hyperlegible" w:cs="Atkinson Hyperlegible" w:eastAsia="Atkinson Hyperlegible" w:hAnsi="Atkinson Hyperlegible"/>
        </w:rPr>
        <w:t xml:space="preserve">KS-CCC.6 (AP44) — From extension to rule. Fires on a third operation on the same grain inside the instrument. On the two being shown one. Or on the two factors being shown not to multiply. Its coupling to KS-R.9 released. By dated note.</w:t>
      </w:r>
    </w:p>
    <w:p>
      <w:pPr>
        <w:spacing w:after="160" w:before="0" w:line="300"/>
      </w:pPr>
      <w:r>
        <w:rPr>
          <w:rFonts w:ascii="Atkinson Hyperlegible" w:cs="Atkinson Hyperlegible" w:eastAsia="Atkinson Hyperlegible" w:hAnsi="Atkinson Hyperlegible"/>
          <w:b/>
          <w:bCs/>
          <w:i w:val="false"/>
          <w:iCs w:val="false"/>
        </w:rPr>
        <w:t xml:space="preserve">Connections. </w:t>
      </w:r>
      <w:r>
        <w:rPr>
          <w:rFonts w:ascii="Atkinson Hyperlegible" w:cs="Atkinson Hyperlegible" w:eastAsia="Atkinson Hyperlegible" w:hAnsi="Atkinson Hyperlegible"/>
          <w:b w:val="false"/>
          <w:bCs w:val="false"/>
          <w:i w:val="false"/>
          <w:iCs w:val="false"/>
        </w:rPr>
        <w:t xml:space="preserve">The neck’s grain is the pupil of AP51: the one grain no reader can read now. The flow is AP45’s and AP46’s.</w:t>
      </w:r>
    </w:p>
    <w:p>
      <w:pPr>
        <w:spacing w:after="160" w:before="120" w:line="300"/>
      </w:pPr>
      <w:r>
        <w:rPr>
          <w:rFonts w:ascii="Atkinson Hyperlegible" w:cs="Atkinson Hyperlegible" w:eastAsia="Atkinson Hyperlegible" w:hAnsi="Atkinson Hyperlegible"/>
          <w:b w:val="false"/>
          <w:bCs w:val="false"/>
          <w:i/>
          <w:iCs/>
        </w:rPr>
        <w:t xml:space="preserve">One grain falling. One pile held. Never two grains held.</w:t>
      </w:r>
    </w:p>
    <w:p>
      <w:r>
        <w:br w:type="page"/>
      </w:r>
    </w:p>
    <w:p>
      <w:pPr>
        <w:pStyle w:val="Heading1"/>
        <w:spacing w:after="240" w:before="480"/>
      </w:pPr>
      <w:r>
        <w:t xml:space="preserve">9 — The Least Element</w:t>
      </w:r>
    </w:p>
    <w:p>
      <w:pPr>
        <w:spacing w:after="160" w:before="0" w:line="300"/>
      </w:pPr>
      <w:r>
        <w:rPr>
          <w:rFonts w:ascii="Atkinson Hyperlegible" w:cs="Atkinson Hyperlegible" w:eastAsia="Atkinson Hyperlegible" w:hAnsi="Atkinson Hyperlegible"/>
          <w:b w:val="false"/>
          <w:bCs w:val="false"/>
          <w:i/>
          <w:iCs/>
        </w:rPr>
        <w:t xml:space="preserve">A lemma that was false as written. The premise it needed was the first line of the picture.</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The hourglass tipped once. The first grain is the first record. Grains pass one per click. So every initial segment of the record history is finite. The order is total and well-founded. The least element exists and is unique. AP44 Proposition 1 stands on the premise. The premise is supplied by dated note.</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Discreteness alone is not enough. One grain per click over a past with no beginning is the integers. The integers have no first. What does the work is that the sand started falling.</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AP44 §2 Proposition 1. AP20 (R as a monoid; the undeniable premise). AP45 (one grain per event). The author’s sequence of the tip. Three reviewers’ counterexample.</w:t>
      </w:r>
    </w:p>
    <w:p>
      <w:pPr>
        <w:spacing w:after="160" w:before="0" w:line="300"/>
      </w:pPr>
      <w:r>
        <w:rPr>
          <w:rFonts w:ascii="Atkinson Hyperlegible" w:cs="Atkinson Hyperlegible" w:eastAsia="Atkinson Hyperlegible" w:hAnsi="Atkinson Hyperlegible"/>
          <w:b/>
          <w:bCs/>
          <w:i w:val="false"/>
          <w:iCs w:val="false"/>
        </w:rPr>
        <w:t xml:space="preserve">Theorem — the tip. </w:t>
      </w:r>
      <w:r>
        <w:rPr>
          <w:rFonts w:ascii="Atkinson Hyperlegible" w:cs="Atkinson Hyperlegible" w:eastAsia="Atkinson Hyperlegible" w:hAnsi="Atkinson Hyperlegible"/>
          <w:b w:val="false"/>
          <w:bCs w:val="false"/>
          <w:i w:val="false"/>
          <w:iCs w:val="false"/>
        </w:rPr>
        <w:t xml:space="preserve">Before the tip there is no record (S). The first grain is the first record (B). Grains pass the neck one at a time, one per click (C). So every initial segment of the history is finite. Discreteness with a beginning is well-founded. Discreteness alone is not. The order is total. R orders records by sequential composition in a monoid. One grain after another. The universe is processed one grain at a time, whichever site’s neck the grain passes (The Keys; §1; AP52 §2). Two records are always one before the other. That order is the record’s. No site reads it (AP52 §6). A total, strict, well-founded order has a unique least element. For any configuration it is its constitution record.</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The tip: Ruled (“yes — said it”). Well-foundedness: Derived. The premise is the corpus’s own. Not a repair.</w:t>
      </w:r>
    </w:p>
    <w:p>
      <w:pPr>
        <w:spacing w:after="160" w:before="0" w:line="300"/>
      </w:pPr>
      <w:r>
        <w:rPr>
          <w:rFonts w:ascii="Atkinson Hyperlegible" w:cs="Atkinson Hyperlegible" w:eastAsia="Atkinson Hyperlegible" w:hAnsi="Atkinson Hyperlegible"/>
          <w:b/>
          <w:bCs/>
          <w:i w:val="false"/>
          <w:iCs w:val="false"/>
        </w:rPr>
        <w:t xml:space="preserve">Connections. </w:t>
      </w:r>
      <w:r>
        <w:rPr>
          <w:rFonts w:ascii="Atkinson Hyperlegible" w:cs="Atkinson Hyperlegible" w:eastAsia="Atkinson Hyperlegible" w:hAnsi="Atkinson Hyperlegible"/>
          <w:b w:val="false"/>
          <w:bCs w:val="false"/>
          <w:i w:val="false"/>
          <w:iCs w:val="false"/>
        </w:rPr>
        <w:t xml:space="preserve">The premise is §1’s first line. It is AP44’s own application of the proposition to the arena.</w:t>
      </w:r>
    </w:p>
    <w:p>
      <w:pPr>
        <w:spacing w:after="160" w:before="120" w:line="300"/>
      </w:pPr>
      <w:r>
        <w:rPr>
          <w:rFonts w:ascii="Atkinson Hyperlegible" w:cs="Atkinson Hyperlegible" w:eastAsia="Atkinson Hyperlegible" w:hAnsi="Atkinson Hyperlegible"/>
          <w:b w:val="false"/>
          <w:bCs w:val="false"/>
          <w:i/>
          <w:iCs/>
        </w:rPr>
        <w:t xml:space="preserve">The integers have no first grain. The universe does.</w:t>
      </w:r>
    </w:p>
    <w:p>
      <w:r>
        <w:br w:type="page"/>
      </w:r>
    </w:p>
    <w:p>
      <w:pPr>
        <w:pStyle w:val="Heading1"/>
        <w:spacing w:after="240" w:before="480"/>
      </w:pPr>
      <w:r>
        <w:t xml:space="preserve">10 — Which α</w:t>
      </w:r>
    </w:p>
    <w:p>
      <w:pPr>
        <w:spacing w:after="160" w:before="0" w:line="300"/>
      </w:pPr>
      <w:r>
        <w:rPr>
          <w:rFonts w:ascii="Atkinson Hyperlegible" w:cs="Atkinson Hyperlegible" w:eastAsia="Atkinson Hyperlegible" w:hAnsi="Atkinson Hyperlegible"/>
          <w:b w:val="false"/>
          <w:bCs w:val="false"/>
          <w:i/>
          <w:iCs/>
        </w:rPr>
        <w:t xml:space="preserve">A fair question from a metrologist. Which α is being raised to the twenty-first power?</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The corpus’s α is the fine-structure constant at zero momentum transfer, α(0). That is the value the constant is defined at. CODATA tabulates it. It is identified with the leakage constant at the electromagnetic boundary (AP06 §10.7). Twenty-one gates compound one number. D-EM.1 is untouched.</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The grain is the constant. Its coupling capacity is read at the neck. One grain at a time. At rest. Nothing has yet been assembled for it to run against. That is the model’s reason for choosing α(0). The specification stands without the reason.</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AP06 §10.7. The author’s ruling (“the grain of sand is the constant — and the flow rate is constant”). CODATA 2022.</w:t>
      </w:r>
    </w:p>
    <w:p>
      <w:pPr>
        <w:spacing w:after="160" w:before="0" w:line="300"/>
      </w:pPr>
      <w:r>
        <w:rPr>
          <w:rFonts w:ascii="Atkinson Hyperlegible" w:cs="Atkinson Hyperlegible" w:eastAsia="Atkinson Hyperlegible" w:hAnsi="Atkinson Hyperlegible"/>
          <w:b/>
          <w:bCs/>
          <w:i w:val="false"/>
          <w:iCs w:val="false"/>
        </w:rPr>
        <w:t xml:space="preserve">The audit, closed. </w:t>
      </w:r>
      <w:r>
        <w:rPr>
          <w:rFonts w:ascii="Atkinson Hyperlegible" w:cs="Atkinson Hyperlegible" w:eastAsia="Atkinson Hyperlegible" w:hAnsi="Atkinson Hyperlegible"/>
          <w:b w:val="false"/>
          <w:bCs w:val="false"/>
          <w:i w:val="false"/>
          <w:iCs w:val="false"/>
        </w:rPr>
        <w:t xml:space="preserve">Twenty-one powers of a per-mille ambiguity compound to (1 + α/π)²¹ = 1.04993 at CODATA-2022 α = 7.2973525643 × 10⁻³. Recomputed at source. The corpus does not deny that the effective coupling runs. Running is a statement about scattering at momentum transfer. The corpus’s α is not read in a scattering process. B8 on the wall is the specification.</w:t>
      </w:r>
    </w:p>
    <w:p>
      <w:pPr>
        <w:spacing w:after="160" w:before="0" w:line="300"/>
      </w:pPr>
      <w:r>
        <w:rPr>
          <w:rFonts w:ascii="Atkinson Hyperlegible" w:cs="Atkinson Hyperlegible" w:eastAsia="Atkinson Hyperlegible" w:hAnsi="Atkinson Hyperlegible"/>
          <w:b/>
          <w:bCs/>
          <w:i w:val="false"/>
          <w:iCs w:val="false"/>
        </w:rPr>
        <w:t xml:space="preserve">What stays open. </w:t>
      </w:r>
      <w:r>
        <w:rPr>
          <w:rFonts w:ascii="Atkinson Hyperlegible" w:cs="Atkinson Hyperlegible" w:eastAsia="Atkinson Hyperlegible" w:hAnsi="Atkinson Hyperlegible"/>
          <w:b w:val="false"/>
          <w:bCs w:val="false"/>
          <w:i w:val="false"/>
          <w:iCs w:val="false"/>
        </w:rPr>
        <w:t xml:space="preserve">D-EM.1: what the corpus’s α-dependence is relative to the electromagnetic coupling. Tens of keV at the proton, against a self-energy of order a MeV. This section says which α. It does not say what the dependence means. In the author’s words: “this I can’t do now yet — this is the name of the exercise — to find the loose strings.”</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Ruled. The audit closed at source.</w:t>
      </w:r>
    </w:p>
    <w:p>
      <w:pPr>
        <w:spacing w:after="160" w:before="120" w:line="300"/>
      </w:pPr>
      <w:r>
        <w:rPr>
          <w:rFonts w:ascii="Atkinson Hyperlegible" w:cs="Atkinson Hyperlegible" w:eastAsia="Atkinson Hyperlegible" w:hAnsi="Atkinson Hyperlegible"/>
          <w:b w:val="false"/>
          <w:bCs w:val="false"/>
          <w:i/>
          <w:iCs/>
        </w:rPr>
        <w:t xml:space="preserve">One grain. One number — with no unit, because it is the now. Twenty-one times.</w:t>
      </w:r>
    </w:p>
    <w:p>
      <w:r>
        <w:br w:type="page"/>
      </w:r>
    </w:p>
    <w:p>
      <w:pPr>
        <w:pStyle w:val="Heading1"/>
        <w:spacing w:after="240" w:before="480"/>
      </w:pPr>
      <w:r>
        <w:t xml:space="preserve">11 — In Plain Words</w:t>
      </w:r>
    </w:p>
    <w:p>
      <w:pPr>
        <w:spacing w:after="160" w:before="0" w:line="300"/>
      </w:pPr>
      <w:r>
        <w:rPr>
          <w:rFonts w:ascii="Atkinson Hyperlegible" w:cs="Atkinson Hyperlegible" w:eastAsia="Atkinson Hyperlegible" w:hAnsi="Atkinson Hyperlegible"/>
          <w:b w:val="false"/>
          <w:bCs w:val="false"/>
          <w:i/>
          <w:iCs/>
        </w:rPr>
        <w:t>In the author’s prose voice.</w:t>
      </w:r>
    </w:p>
    <w:p>
      <w:pPr>
        <w:spacing w:after="160" w:before="0" w:line="300"/>
      </w:pPr>
      <w:r>
        <w:rPr>
          <w:rFonts w:ascii="Atkinson Hyperlegible" w:cs="Atkinson Hyperlegible" w:eastAsia="Atkinson Hyperlegible" w:hAnsi="Atkinson Hyperlegible"/>
        </w:rPr>
        <w:t xml:space="preserve">I have been thinking in an hourglass for years. The top is everything that could happen. The bottom is everything that has. The sand is not sand. Each grain is the smallest thing there is that can hold on to another. The electron. Before anything happened the two halves faced each other in perfect balance. Nothing moved. Then the smallest possible splinter broke off. The glass tipped. The first grain fell through the neck. From that moment there was a direction. Then a history. Then time, which is only the count of grains that have fallen.</w:t>
      </w:r>
    </w:p>
    <w:p>
      <w:pPr>
        <w:spacing w:after="160" w:before="0" w:line="300"/>
      </w:pPr>
      <w:r>
        <w:rPr>
          <w:rFonts w:ascii="Atkinson Hyperlegible" w:cs="Atkinson Hyperlegible" w:eastAsia="Atkinson Hyperlegible" w:hAnsi="Atkinson Hyperlegible"/>
        </w:rPr>
        <w:t xml:space="preserve">The neck is gravity. It is not one of the ways a grain can couple to the world. It is the ring every grain has to pass through to become real at all. Every one of the twenty-one gates a grain has to pass — the twenty-one ways it couples — has to be passed there. Together. Now. That is why the strength of gravity is the strength of one coupling multiplied by itself twenty-one times. Not because twenty-one is a pretty number. Because a grain cannot become real through some of its gates and not the others. It passes all of them or none. And each gate is a whole handshake between two grains, a writer and a reader. So each is worth one whole exchange, not half of one.</w:t>
      </w:r>
    </w:p>
    <w:p>
      <w:pPr>
        <w:spacing w:after="160" w:before="0" w:line="300"/>
      </w:pPr>
      <w:r>
        <w:rPr>
          <w:rFonts w:ascii="Atkinson Hyperlegible" w:cs="Atkinson Hyperlegible" w:eastAsia="Atkinson Hyperlegible" w:hAnsi="Atkinson Hyperlegible"/>
        </w:rPr>
        <w:t xml:space="preserve">There is always exactly one grain in the neck that has not yet coupled. There has to be. If the last grain landed and everything balanced, nothing could be written or read. The universe would stop. That one grain adds its share to the twenty-one balanced ways. One grain over the size of the opening. And the opening is not a hole the grain falls through. It is the grain’s own aperture. The grain is the constraint. The observer, the observing and the observed are one grain. So the opening is one grain from its centre to its rim, by identity. One grain over a disc of that size is one over π.</w:t>
      </w:r>
    </w:p>
    <w:p>
      <w:pPr>
        <w:spacing w:after="160" w:before="0" w:line="300"/>
      </w:pPr>
      <w:r>
        <w:rPr>
          <w:rFonts w:ascii="Atkinson Hyperlegible" w:cs="Atkinson Hyperlegible" w:eastAsia="Atkinson Hyperlegible" w:hAnsi="Atkinson Hyperlegible"/>
        </w:rPr>
        <w:t xml:space="preserve">The universe also had to hold the break open in the first place. Otherwise it would have healed. Holding costs. The cost of holding is paid in the currency of holding. That is coupling. That is α. Not because α was picked off a list. Because that is what a holding is measured in. The proton’s holders in AP49 were already measured in it. And a hold leaks. The leak has to be held. That holding leaks. Add it up and you get a division, not a subtraction. Which way the division runs depends only on whether the leak is charged against what the thing holds, or added to what it resists with.</w:t>
      </w:r>
    </w:p>
    <w:p>
      <w:pPr>
        <w:spacing w:after="160" w:before="0" w:line="300"/>
      </w:pPr>
      <w:r>
        <w:rPr>
          <w:rFonts w:ascii="Atkinson Hyperlegible" w:cs="Atkinson Hyperlegible" w:eastAsia="Atkinson Hyperlegible" w:hAnsi="Atkinson Hyperlegible"/>
        </w:rPr>
        <w:t>And the table in §2 is not the argument. It is an elimination. A petrol engine runs on petrol. You can pour in water, diesel, oil or Coke if you like. Test as many as you want. The car starts on one of them. That is all the table does. It says what cannot work. What says why the grain’s own disc is the right one is the identity, and the identity came first.</w:t>
      </w:r>
    </w:p>
    <w:p>
      <w:pPr>
        <w:spacing w:after="160" w:before="0" w:line="300"/>
      </w:pPr>
      <w:r>
        <w:rPr>
          <w:rFonts w:ascii="Atkinson Hyperlegible" w:cs="Atkinson Hyperlegible" w:eastAsia="Atkinson Hyperlegible" w:hAnsi="Atkinson Hyperlegible"/>
        </w:rPr>
        <w:t xml:space="preserve">That is the whole paper. It moves no number. It says why the numbers AP28 and AP44 already had are the shape they are. It says which of those reasons the picture forces and which I rule. And it owes nothing it does not name.</w:t>
      </w:r>
    </w:p>
    <w:p>
      <w:r>
        <w:br w:type="page"/>
      </w:r>
    </w:p>
    <w:p>
      <w:pPr>
        <w:pStyle w:val="Heading1"/>
        <w:spacing w:after="240" w:before="480"/>
      </w:pPr>
      <w:r>
        <w:t xml:space="preserve">12 — What This Paper Does Not Claim</w:t>
      </w:r>
    </w:p>
    <w:p>
      <w:pPr>
        <w:pStyle w:val="ListParagraph"/>
        <w:numPr>
          <w:ilvl w:val="0"/>
          <w:numId w:val="2"/>
        </w:numPr>
        <w:spacing w:after="100" w:line="300"/>
      </w:pPr>
      <w:r>
        <w:rPr>
          <w:rFonts w:ascii="Atkinson Hyperlegible" w:cs="Atkinson Hyperlegible" w:eastAsia="Atkinson Hyperlegible" w:hAnsi="Atkinson Hyperlegible"/>
        </w:rPr>
        <w:t xml:space="preserve">The value of α. The per-gate worth is identified with the leakage constant. It is not derived. §5 says so in its first sentence.</w:t>
      </w:r>
    </w:p>
    <w:p>
      <w:pPr>
        <w:pStyle w:val="ListParagraph"/>
        <w:numPr>
          <w:ilvl w:val="0"/>
          <w:numId w:val="2"/>
        </w:numPr>
        <w:spacing w:after="100" w:line="300"/>
      </w:pPr>
      <w:r>
        <w:rPr>
          <w:rFonts w:ascii="Atkinson Hyperlegible" w:cs="Atkinson Hyperlegible" w:eastAsia="Atkinson Hyperlegible" w:hAnsi="Atkinson Hyperlegible"/>
        </w:rPr>
        <w:t xml:space="preserve">The value of G beyond AP28 and AP44. No number here is new.</w:t>
      </w:r>
    </w:p>
    <w:p>
      <w:pPr>
        <w:pStyle w:val="ListParagraph"/>
        <w:numPr>
          <w:ilvl w:val="0"/>
          <w:numId w:val="2"/>
        </w:numPr>
        <w:spacing w:after="100" w:line="300"/>
      </w:pPr>
      <w:r>
        <w:rPr>
          <w:rFonts w:ascii="Atkinson Hyperlegible" w:cs="Atkinson Hyperlegible" w:eastAsia="Atkinson Hyperlegible" w:hAnsi="Atkinson Hyperlegible"/>
        </w:rPr>
        <w:t xml:space="preserve">Any running of α. Any answer to D-EM.1 (§10).</w:t>
      </w:r>
    </w:p>
    <w:p>
      <w:pPr>
        <w:pStyle w:val="ListParagraph"/>
        <w:numPr>
          <w:ilvl w:val="0"/>
          <w:numId w:val="2"/>
        </w:numPr>
        <w:spacing w:after="100" w:line="300"/>
      </w:pPr>
      <w:r>
        <w:rPr>
          <w:rFonts w:ascii="Atkinson Hyperlegible" w:cs="Atkinson Hyperlegible" w:eastAsia="Atkinson Hyperlegible" w:hAnsi="Atkinson Hyperlegible"/>
        </w:rPr>
        <w:t xml:space="preserve">The tubes. They are in the picture. They are not in the corpus’s locked papers. If they are nowhere, they are a paper of their own.</w:t>
      </w:r>
    </w:p>
    <w:p>
      <w:pPr>
        <w:pStyle w:val="ListParagraph"/>
        <w:numPr>
          <w:ilvl w:val="0"/>
          <w:numId w:val="2"/>
        </w:numPr>
        <w:spacing w:after="100" w:line="300"/>
      </w:pPr>
      <w:r>
        <w:rPr>
          <w:rFonts w:ascii="Atkinson Hyperlegible" w:cs="Atkinson Hyperlegible" w:eastAsia="Atkinson Hyperlegible" w:hAnsi="Atkinson Hyperlegible"/>
        </w:rPr>
        <w:t xml:space="preserve">“At the neck α:G = 1:1” as a number. The author’s description stays a description. His route to a separate paper.</w:t>
      </w:r>
    </w:p>
    <w:p>
      <w:pPr>
        <w:pStyle w:val="ListParagraph"/>
        <w:numPr>
          <w:ilvl w:val="0"/>
          <w:numId w:val="2"/>
        </w:numPr>
        <w:spacing w:after="100" w:line="300"/>
      </w:pPr>
      <w:r>
        <w:rPr>
          <w:rFonts w:ascii="Atkinson Hyperlegible" w:cs="Atkinson Hyperlegible" w:eastAsia="Atkinson Hyperlegible" w:hAnsi="Atkinson Hyperlegible"/>
        </w:rPr>
        <w:t xml:space="preserve">That the coupling reading is “21 times” stronger than gravity in the visible universe. It is not. By AP28’s own formula the ratio at the electron is α⁻²⁰(1 + α)/(1 + 1/π) ≈ 4.2 × 10⁴². The structural sentence — one channel against twenty-one — is §5’s.</w:t>
      </w:r>
    </w:p>
    <w:p>
      <w:pPr>
        <w:pStyle w:val="ListParagraph"/>
        <w:numPr>
          <w:ilvl w:val="0"/>
          <w:numId w:val="2"/>
        </w:numPr>
        <w:spacing w:after="100" w:line="300"/>
      </w:pPr>
      <w:r>
        <w:rPr>
          <w:rFonts w:ascii="Atkinson Hyperlegible" w:cs="Atkinson Hyperlegible" w:eastAsia="Atkinson Hyperlegible" w:hAnsi="Atkinson Hyperlegible"/>
        </w:rPr>
        <w:t xml:space="preserve">Any selection of the O(1) factor against measured G.</w:t>
      </w:r>
    </w:p>
    <w:p>
      <w:pPr>
        <w:pStyle w:val="ListParagraph"/>
        <w:numPr>
          <w:ilvl w:val="0"/>
          <w:numId w:val="2"/>
        </w:numPr>
        <w:spacing w:after="100" w:line="300"/>
      </w:pPr>
      <w:r>
        <w:rPr>
          <w:rFonts w:ascii="Atkinson Hyperlegible" w:cs="Atkinson Hyperlegible" w:eastAsia="Atkinson Hyperlegible" w:hAnsi="Atkinson Hyperlegible"/>
        </w:rPr>
        <w:t xml:space="preserve">The resolution of AP28’s face-to-axiom mapping (§3). Held open. Theirs.</w:t>
      </w:r>
    </w:p>
    <w:p>
      <w:pPr>
        <w:pStyle w:val="ListParagraph"/>
        <w:numPr>
          <w:ilvl w:val="0"/>
          <w:numId w:val="2"/>
        </w:numPr>
        <w:spacing w:after="100" w:line="300"/>
      </w:pPr>
      <w:r>
        <w:rPr>
          <w:rFonts w:ascii="Atkinson Hyperlegible" w:cs="Atkinson Hyperlegible" w:eastAsia="Atkinson Hyperlegible" w:hAnsi="Atkinson Hyperlegible"/>
        </w:rPr>
        <w:t xml:space="preserve">The glass — the reader, awareness, the relativity of reading. One sentence in §2. The rest is AP51 The Glass.</w:t>
      </w:r>
    </w:p>
    <w:p>
      <w:pPr>
        <w:pStyle w:val="ListParagraph"/>
        <w:numPr>
          <w:ilvl w:val="0"/>
          <w:numId w:val="2"/>
        </w:numPr>
        <w:spacing w:after="100" w:line="300"/>
      </w:pPr>
      <w:r>
        <w:rPr>
          <w:rFonts w:ascii="Atkinson Hyperlegible" w:cs="Atkinson Hyperlegible" w:eastAsia="Atkinson Hyperlegible" w:hAnsi="Atkinson Hyperlegible"/>
        </w:rPr>
        <w:t>Book 2 of The Keys. Only Book 1 — the hourglass and the Eye — is cited as the published picture. Book 2’s 2025 vocabulary is superseded by the axiom. It is not this paper’s.</w:t>
      </w:r>
    </w:p>
    <w:p>
      <w:r>
        <w:br w:type="page"/>
      </w:r>
    </w:p>
    <w:p>
      <w:pPr>
        <w:pStyle w:val="Heading1"/>
        <w:spacing w:after="240" w:before="480"/>
      </w:pPr>
      <w:r>
        <w:t xml:space="preserve">13 — Kill Switches</w:t>
      </w:r>
    </w:p>
    <w:p>
      <w:pPr>
        <w:spacing w:after="160" w:before="0" w:line="300"/>
      </w:pPr>
      <w:r>
        <w:rPr>
          <w:rFonts w:ascii="Atkinson Hyperlegible" w:cs="Atkinson Hyperlegible" w:eastAsia="Atkinson Hyperlegible" w:hAnsi="Atkinson Hyperlegible"/>
          <w:b w:val="false"/>
          <w:bCs w:val="false"/>
          <w:i/>
          <w:iCs/>
        </w:rPr>
        <w:t>Armed at lock, on the author’s word. Each test is written so that a counterexample which keeps the classification but kills the formula still fires.</w:t>
      </w:r>
    </w:p>
    <w:p>
      <w:pPr>
        <w:pStyle w:val="Heading2"/>
        <w:spacing w:after="160" w:before="320"/>
      </w:pPr>
      <w:r>
        <w:t xml:space="preserve">KS-NECK.1 — The grain’s own aperture</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The neck is not a puncture through the actualised side. It is not a hole distinct from the grain. It is the grain read as the constraint. So its boundary is a ring. Its radius is the grain’s, by identity. The passage is through the disc. The weight is one grain over its own disc, 1/π.</w:t>
      </w:r>
    </w:p>
    <w:p>
      <w:pPr>
        <w:spacing w:after="160" w:before="0" w:line="300"/>
      </w:pPr>
      <w:r>
        <w:rPr>
          <w:rFonts w:ascii="Atkinson Hyperlegible" w:cs="Atkinson Hyperlegible" w:eastAsia="Atkinson Hyperlegible" w:hAnsi="Atkinson Hyperlegible"/>
          <w:b/>
          <w:bCs/>
          <w:i w:val="false"/>
          <w:iCs w:val="false"/>
        </w:rPr>
        <w:t xml:space="preserve">Test. </w:t>
      </w:r>
      <w:r>
        <w:rPr>
          <w:rFonts w:ascii="Atkinson Hyperlegible" w:cs="Atkinson Hyperlegible" w:eastAsia="Atkinson Hyperlegible" w:hAnsi="Atkinson Hyperlegible"/>
          <w:b w:val="false"/>
          <w:bCs w:val="false"/>
          <w:i w:val="false"/>
          <w:iCs w:val="false"/>
        </w:rPr>
        <w:t xml:space="preserve">The neck shown to be a hole in the actualised side (a 2-sphere boundary). The neck shown to be an object distinct from the grain. The passage shown to be along the rim. The weight shown not to be one grain over the grain’s own disc. The unit shown to be other than the grain’s radius.</w:t>
      </w:r>
    </w:p>
    <w:p>
      <w:pPr>
        <w:spacing w:after="160" w:before="0" w:line="300"/>
      </w:pPr>
      <w:r>
        <w:rPr>
          <w:rFonts w:ascii="Atkinson Hyperlegible" w:cs="Atkinson Hyperlegible" w:eastAsia="Atkinson Hyperlegible" w:hAnsi="Atkinson Hyperlegible"/>
          <w:b/>
          <w:bCs/>
          <w:i w:val="false"/>
          <w:iCs w:val="false"/>
        </w:rPr>
        <w:t xml:space="preserve">Status. </w:t>
      </w:r>
      <w:r>
        <w:rPr>
          <w:rFonts w:ascii="Atkinson Hyperlegible" w:cs="Atkinson Hyperlegible" w:eastAsia="Atkinson Hyperlegible" w:hAnsi="Atkinson Hyperlegible"/>
          <w:b w:val="false"/>
          <w:bCs w:val="false"/>
          <w:i w:val="false"/>
          <w:iCs w:val="false"/>
        </w:rPr>
        <w:t>LIVE — STRUCTURAL; pays KS-R.9’s sub-debt.</w:t>
      </w:r>
    </w:p>
    <w:p>
      <w:pPr>
        <w:spacing w:after="160" w:before="0" w:line="300"/>
      </w:pPr>
      <w:r>
        <w:rPr>
          <w:rFonts w:ascii="Atkinson Hyperlegible" w:cs="Atkinson Hyperlegible" w:eastAsia="Atkinson Hyperlegible" w:hAnsi="Atkinson Hyperlegible"/>
          <w:b/>
          <w:bCs/>
          <w:i w:val="false"/>
          <w:iCs w:val="false"/>
        </w:rPr>
        <w:t xml:space="preserve">Recovery. </w:t>
      </w:r>
      <w:r>
        <w:rPr>
          <w:rFonts w:ascii="Atkinson Hyperlegible" w:cs="Atkinson Hyperlegible" w:eastAsia="Atkinson Hyperlegible" w:hAnsi="Atkinson Hyperlegible"/>
          <w:b w:val="false"/>
          <w:bCs w:val="false"/>
          <w:i w:val="false"/>
          <w:iCs w:val="false"/>
        </w:rPr>
        <w:t xml:space="preserve">The identity fails. The radius is unfixed. The weight is recalculated as 1/(πr²) at the shown r. The puncture factor is one plus that. The elimination table of §2 says which r survive. AP28’s count is unaffected.</w:t>
      </w:r>
    </w:p>
    <w:p>
      <w:pPr>
        <w:pStyle w:val="Heading2"/>
        <w:spacing w:after="160" w:before="320"/>
      </w:pPr>
      <w:r>
        <w:t xml:space="preserve">KS-NECK.2 — Reading by operation</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Which of the six readings applies is fixed by what the grain is doing. Landed: mₑ, c, G, the material face. The holding: α. The record of the hold: t. The proton and its holders are the instances.</w:t>
      </w:r>
    </w:p>
    <w:p>
      <w:pPr>
        <w:spacing w:after="160" w:before="0" w:line="300"/>
      </w:pPr>
      <w:r>
        <w:rPr>
          <w:rFonts w:ascii="Atkinson Hyperlegible" w:cs="Atkinson Hyperlegible" w:eastAsia="Atkinson Hyperlegible" w:hAnsi="Atkinson Hyperlegible"/>
          <w:b/>
          <w:bCs/>
          <w:i w:val="false"/>
          <w:iCs w:val="false"/>
        </w:rPr>
        <w:t xml:space="preserve">Test. </w:t>
      </w:r>
      <w:r>
        <w:rPr>
          <w:rFonts w:ascii="Atkinson Hyperlegible" w:cs="Atkinson Hyperlegible" w:eastAsia="Atkinson Hyperlegible" w:hAnsi="Atkinson Hyperlegible"/>
          <w:b w:val="false"/>
          <w:bCs w:val="false"/>
          <w:i w:val="false"/>
          <w:iCs w:val="false"/>
        </w:rPr>
        <w:t xml:space="preserve">A reading shown to apply to an operation not its own. A landed grain read in α. An act of holding read as mass. Anywhere. A reading of the landed shown dimensionless. The holding’s reading shown to carry a unit.</w:t>
      </w:r>
    </w:p>
    <w:p>
      <w:pPr>
        <w:spacing w:after="160" w:before="0" w:line="300"/>
      </w:pPr>
      <w:r>
        <w:rPr>
          <w:rFonts w:ascii="Atkinson Hyperlegible" w:cs="Atkinson Hyperlegible" w:eastAsia="Atkinson Hyperlegible" w:hAnsi="Atkinson Hyperlegible"/>
          <w:b/>
          <w:bCs/>
          <w:i w:val="false"/>
          <w:iCs w:val="false"/>
        </w:rPr>
        <w:t xml:space="preserve">Status. </w:t>
      </w:r>
      <w:r>
        <w:rPr>
          <w:rFonts w:ascii="Atkinson Hyperlegible" w:cs="Atkinson Hyperlegible" w:eastAsia="Atkinson Hyperlegible" w:hAnsi="Atkinson Hyperlegible"/>
          <w:b w:val="false"/>
          <w:bCs w:val="false"/>
          <w:i w:val="false"/>
          <w:iCs w:val="false"/>
        </w:rPr>
        <w:t>LIVE — STRUCTURAL.</w:t>
      </w:r>
    </w:p>
    <w:p>
      <w:pPr>
        <w:spacing w:after="160" w:before="0" w:line="300"/>
      </w:pPr>
      <w:r>
        <w:rPr>
          <w:rFonts w:ascii="Atkinson Hyperlegible" w:cs="Atkinson Hyperlegible" w:eastAsia="Atkinson Hyperlegible" w:hAnsi="Atkinson Hyperlegible"/>
          <w:b/>
          <w:bCs/>
          <w:i w:val="false"/>
          <w:iCs w:val="false"/>
        </w:rPr>
        <w:t xml:space="preserve">Recovery. </w:t>
      </w:r>
      <w:r>
        <w:rPr>
          <w:rFonts w:ascii="Atkinson Hyperlegible" w:cs="Atkinson Hyperlegible" w:eastAsia="Atkinson Hyperlegible" w:hAnsi="Atkinson Hyperlegible"/>
          <w:b w:val="false"/>
          <w:bCs w:val="false"/>
          <w:i w:val="false"/>
          <w:iCs w:val="false"/>
        </w:rPr>
        <w:t xml:space="preserve">§3’s rule fails. §6 and §8 lose their ground. AP44 §5 reverts to SELECTED. D-CCC.4 reopens. KS-CCC.6 reverts to an extension.</w:t>
      </w:r>
    </w:p>
    <w:p>
      <w:pPr>
        <w:pStyle w:val="Heading2"/>
        <w:spacing w:after="160" w:before="320"/>
      </w:pPr>
      <w:r>
        <w:t xml:space="preserve">KS-NECK.3 — The holding’s currency</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A holding is read in α, once. The landed is read as mass. The arena’s commitment is the act of holding the break. It is read in α by rule.</w:t>
      </w:r>
    </w:p>
    <w:p>
      <w:pPr>
        <w:spacing w:after="160" w:before="0" w:line="300"/>
      </w:pPr>
      <w:r>
        <w:rPr>
          <w:rFonts w:ascii="Atkinson Hyperlegible" w:cs="Atkinson Hyperlegible" w:eastAsia="Atkinson Hyperlegible" w:hAnsi="Atkinson Hyperlegible"/>
          <w:b/>
          <w:bCs/>
          <w:i w:val="false"/>
          <w:iCs w:val="false"/>
        </w:rPr>
        <w:t xml:space="preserve">Test. </w:t>
      </w:r>
      <w:r>
        <w:rPr>
          <w:rFonts w:ascii="Atkinson Hyperlegible" w:cs="Atkinson Hyperlegible" w:eastAsia="Atkinson Hyperlegible" w:hAnsi="Atkinson Hyperlegible"/>
          <w:b w:val="false"/>
          <w:bCs w:val="false"/>
          <w:i w:val="false"/>
          <w:iCs w:val="false"/>
        </w:rPr>
        <w:t xml:space="preserve">The constitution shown to be a landed grain rather than an act. Or the commitment shown to be a holding whose coefficient is a function of α other than α.</w:t>
      </w:r>
    </w:p>
    <w:p>
      <w:pPr>
        <w:spacing w:after="160" w:before="0" w:line="300"/>
      </w:pPr>
      <w:r>
        <w:rPr>
          <w:rFonts w:ascii="Atkinson Hyperlegible" w:cs="Atkinson Hyperlegible" w:eastAsia="Atkinson Hyperlegible" w:hAnsi="Atkinson Hyperlegible"/>
          <w:b/>
          <w:bCs/>
          <w:i w:val="false"/>
          <w:iCs w:val="false"/>
        </w:rPr>
        <w:t xml:space="preserve">Status. </w:t>
      </w:r>
      <w:r>
        <w:rPr>
          <w:rFonts w:ascii="Atkinson Hyperlegible" w:cs="Atkinson Hyperlegible" w:eastAsia="Atkinson Hyperlegible" w:hAnsi="Atkinson Hyperlegible"/>
          <w:b w:val="false"/>
          <w:bCs w:val="false"/>
          <w:i w:val="false"/>
          <w:iCs w:val="false"/>
        </w:rPr>
        <w:t>LIVE — STRUCTURAL.</w:t>
      </w:r>
    </w:p>
    <w:p>
      <w:pPr>
        <w:spacing w:after="160" w:before="0" w:line="300"/>
      </w:pPr>
      <w:r>
        <w:rPr>
          <w:rFonts w:ascii="Atkinson Hyperlegible" w:cs="Atkinson Hyperlegible" w:eastAsia="Atkinson Hyperlegible" w:hAnsi="Atkinson Hyperlegible"/>
          <w:b/>
          <w:bCs/>
          <w:i w:val="false"/>
          <w:iCs w:val="false"/>
        </w:rPr>
        <w:t xml:space="preserve">Recovery. </w:t>
      </w:r>
      <w:r>
        <w:rPr>
          <w:rFonts w:ascii="Atkinson Hyperlegible" w:cs="Atkinson Hyperlegible" w:eastAsia="Atkinson Hyperlegible" w:hAnsi="Atkinson Hyperlegible"/>
          <w:b w:val="false"/>
          <w:bCs w:val="false"/>
          <w:i w:val="false"/>
          <w:iCs w:val="false"/>
        </w:rPr>
        <w:t xml:space="preserve">The commitment is read in mₑ. That is a mass-side booking AP44 §6 already kills twice. Or the quotient carries the shown function. The arena reading fails. AP44 §9 fails with it.</w:t>
      </w:r>
    </w:p>
    <w:p>
      <w:pPr>
        <w:pStyle w:val="Heading2"/>
        <w:spacing w:after="160" w:before="320"/>
      </w:pPr>
      <w:r>
        <w:t xml:space="preserve">KS-NECK.4 — The leak of the leak</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A leak that must be held chains with a constant share. It closes as a quotient, booked as its site books it. Against what is held: 1/(1 + ε). Added to what resists: 1/(1 − r). A returned leak is one term. It multiplies.</w:t>
      </w:r>
    </w:p>
    <w:p>
      <w:pPr>
        <w:spacing w:after="160" w:before="0" w:line="300"/>
      </w:pPr>
      <w:r>
        <w:rPr>
          <w:rFonts w:ascii="Atkinson Hyperlegible" w:cs="Atkinson Hyperlegible" w:eastAsia="Atkinson Hyperlegible" w:hAnsi="Atkinson Hyperlegible"/>
          <w:b/>
          <w:bCs/>
          <w:i w:val="false"/>
          <w:iCs w:val="false"/>
        </w:rPr>
        <w:t xml:space="preserve">Test. </w:t>
      </w:r>
      <w:r>
        <w:rPr>
          <w:rFonts w:ascii="Atkinson Hyperlegible" w:cs="Atkinson Hyperlegible" w:eastAsia="Atkinson Hyperlegible" w:hAnsi="Atkinson Hyperlegible"/>
          <w:b w:val="false"/>
          <w:bCs w:val="false"/>
          <w:i w:val="false"/>
          <w:iCs w:val="false"/>
        </w:rPr>
        <w:t xml:space="preserve">A site at which a returned leak chains. Or a held leak does not. A share that varies rung to rung. A booking that is neither.</w:t>
      </w:r>
    </w:p>
    <w:p>
      <w:pPr>
        <w:spacing w:after="160" w:before="0" w:line="300"/>
      </w:pPr>
      <w:r>
        <w:rPr>
          <w:rFonts w:ascii="Atkinson Hyperlegible" w:cs="Atkinson Hyperlegible" w:eastAsia="Atkinson Hyperlegible" w:hAnsi="Atkinson Hyperlegible"/>
          <w:b/>
          <w:bCs/>
          <w:i w:val="false"/>
          <w:iCs w:val="false"/>
        </w:rPr>
        <w:t xml:space="preserve">Status. </w:t>
      </w:r>
      <w:r>
        <w:rPr>
          <w:rFonts w:ascii="Atkinson Hyperlegible" w:cs="Atkinson Hyperlegible" w:eastAsia="Atkinson Hyperlegible" w:hAnsi="Atkinson Hyperlegible"/>
          <w:b w:val="false"/>
          <w:bCs w:val="false"/>
          <w:i w:val="false"/>
          <w:iCs w:val="false"/>
        </w:rPr>
        <w:t>LIVE — STRUCTURAL.</w:t>
      </w:r>
    </w:p>
    <w:p>
      <w:pPr>
        <w:spacing w:after="160" w:before="0" w:line="300"/>
      </w:pPr>
      <w:r>
        <w:rPr>
          <w:rFonts w:ascii="Atkinson Hyperlegible" w:cs="Atkinson Hyperlegible" w:eastAsia="Atkinson Hyperlegible" w:hAnsi="Atkinson Hyperlegible"/>
          <w:b/>
          <w:bCs/>
          <w:i w:val="false"/>
          <w:iCs w:val="false"/>
        </w:rPr>
        <w:t xml:space="preserve">Recovery. </w:t>
      </w:r>
      <w:r>
        <w:rPr>
          <w:rFonts w:ascii="Atkinson Hyperlegible" w:cs="Atkinson Hyperlegible" w:eastAsia="Atkinson Hyperlegible" w:hAnsi="Atkinson Hyperlegible"/>
          <w:b w:val="false"/>
          <w:bCs w:val="false"/>
          <w:i w:val="false"/>
          <w:iCs w:val="false"/>
        </w:rPr>
        <w:t xml:space="preserve">The forms are re-derived site by site. No frozen number moves.</w:t>
      </w:r>
    </w:p>
    <w:p>
      <w:pPr>
        <w:pStyle w:val="Heading2"/>
        <w:spacing w:after="160" w:before="320"/>
      </w:pPr>
      <w:r>
        <w:t xml:space="preserve">Sharpened or paid at their home papers, by dated note</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KS-R.8b (AP28). </w:t>
      </w:r>
      <w:r>
        <w:rPr>
          <w:rFonts w:ascii="Atkinson Hyperlegible" w:cs="Atkinson Hyperlegible" w:eastAsia="Atkinson Hyperlegible" w:hAnsi="Atkinson Hyperlegible"/>
          <w:b w:val="false"/>
          <w:bCs w:val="false"/>
          <w:i w:val="false"/>
          <w:iCs w:val="false"/>
        </w:rPr>
        <w:t xml:space="preserve">Fires if placement is shown to need a temporal coupling.</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KS-R.8c (AP28). </w:t>
      </w:r>
      <w:r>
        <w:rPr>
          <w:rFonts w:ascii="Atkinson Hyperlegible" w:cs="Atkinson Hyperlegible" w:eastAsia="Atkinson Hyperlegible" w:hAnsi="Atkinson Hyperlegible"/>
          <w:b w:val="false"/>
          <w:bCs w:val="false"/>
          <w:i w:val="false"/>
          <w:iCs w:val="false"/>
        </w:rPr>
        <w:t xml:space="preserve">Fires if the joint passage is shown to be α to a power below twenty-one. Or if a correlation between gates is shown that does not reduce to a shared face or dimension. The old clause could not fire. This one can.</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KS-R.8d (AP28). </w:t>
      </w:r>
      <w:r>
        <w:rPr>
          <w:rFonts w:ascii="Atkinson Hyperlegible" w:cs="Atkinson Hyperlegible" w:eastAsia="Atkinson Hyperlegible" w:hAnsi="Atkinson Hyperlegible"/>
          <w:b w:val="false"/>
          <w:bCs w:val="false"/>
          <w:i w:val="false"/>
          <w:iCs w:val="false"/>
        </w:rPr>
        <w:t xml:space="preserve">Fires if a gate contributes other than one completed exchange, α. A single vertex. A worth differing between gates. A worth that is not α(0).</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KS-R.9 (AP28). </w:t>
      </w:r>
      <w:r>
        <w:rPr>
          <w:rFonts w:ascii="Atkinson Hyperlegible" w:cs="Atkinson Hyperlegible" w:eastAsia="Atkinson Hyperlegible" w:hAnsi="Atkinson Hyperlegible"/>
          <w:b w:val="false"/>
          <w:bCs w:val="false"/>
          <w:i w:val="false"/>
          <w:iCs w:val="false"/>
        </w:rPr>
        <w:t xml:space="preserve">Sub-debt PAID on the identity of the neck with the grain and the radius as the unit. The residual sentence withdrawn. The elimination table entered as record.</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KS-CCC.1 (AP44). </w:t>
      </w:r>
      <w:r>
        <w:rPr>
          <w:rFonts w:ascii="Atkinson Hyperlegible" w:cs="Atkinson Hyperlegible" w:eastAsia="Atkinson Hyperlegible" w:hAnsi="Atkinson Hyperlegible"/>
          <w:b w:val="false"/>
          <w:bCs w:val="false"/>
          <w:i w:val="false"/>
          <w:iCs w:val="false"/>
        </w:rPr>
        <w:t xml:space="preserve">Fires if the constitution is shown to be a different operation from an act of holding, disclosed or not. Binds the order of events in §2.</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KS-CCC.6 (AP44). </w:t>
      </w:r>
      <w:r>
        <w:rPr>
          <w:rFonts w:ascii="Atkinson Hyperlegible" w:cs="Atkinson Hyperlegible" w:eastAsia="Atkinson Hyperlegible" w:hAnsi="Atkinson Hyperlegible"/>
          <w:b w:val="false"/>
          <w:bCs w:val="false"/>
          <w:i w:val="false"/>
          <w:iCs w:val="false"/>
        </w:rPr>
        <w:t xml:space="preserve">From extension to rule. A third operation on the same grain. The two shown one. The two factors shown not to multiply. The coupling to KS-R.9 released.</w:t>
      </w:r>
    </w:p>
    <w:p>
      <w:r>
        <w:br w:type="page"/>
      </w:r>
    </w:p>
    <w:p>
      <w:pPr>
        <w:pStyle w:val="Heading1"/>
        <w:spacing w:after="240" w:before="480"/>
      </w:pPr>
      <w:r>
        <w:t xml:space="preserve">14 — Dated Notes This Paper Triggers</w:t>
      </w:r>
    </w:p>
    <w:p>
      <w:pPr>
        <w:spacing w:after="160" w:before="0" w:line="300"/>
      </w:pPr>
      <w:r>
        <w:rPr>
          <w:rFonts w:ascii="Atkinson Hyperlegible" w:cs="Atkinson Hyperlegible" w:eastAsia="Atkinson Hyperlegible" w:hAnsi="Atkinson Hyperlegible"/>
          <w:b w:val="false"/>
          <w:bCs w:val="false"/>
          <w:i/>
          <w:iCs/>
        </w:rPr>
        <w:t xml:space="preserve">Beside the locked bodies, never in them. At the author’s word. One dated note per paper.</w:t>
      </w:r>
    </w:p>
    <w:p>
      <w:pPr>
        <w:pStyle w:val="Heading2"/>
        <w:spacing w:after="160" w:before="320"/>
      </w:pPr>
      <w:r>
        <w:t xml:space="preserve">AP28 — The Constant</w:t>
      </w:r>
    </w:p>
    <w:p>
      <w:pPr>
        <w:pStyle w:val="ListParagraph"/>
        <w:numPr>
          <w:ilvl w:val="0"/>
          <w:numId w:val="2"/>
        </w:numPr>
        <w:spacing w:after="100" w:line="300"/>
      </w:pPr>
      <w:r>
        <w:rPr>
          <w:rFonts w:ascii="Atkinson Hyperlegible" w:cs="Atkinson Hyperlegible" w:eastAsia="Atkinson Hyperlegible" w:hAnsi="Atkinson Hyperlegible"/>
        </w:rPr>
        <w:t xml:space="preserve">§4: “This is not a physical assumption. It is a mathematical fact about independent events” withdrawn. The conjunction at the neck (product over sum) and the completed exchange (α, not a single vertex) go in. The worth α is named as the identification (§5 here).</w:t>
      </w:r>
    </w:p>
    <w:p>
      <w:pPr>
        <w:pStyle w:val="ListParagraph"/>
        <w:numPr>
          <w:ilvl w:val="0"/>
          <w:numId w:val="2"/>
        </w:numPr>
        <w:spacing w:after="100" w:line="300"/>
      </w:pPr>
      <w:r>
        <w:rPr>
          <w:rFonts w:ascii="Atkinson Hyperlegible" w:cs="Atkinson Hyperlegible" w:eastAsia="Atkinson Hyperlegible" w:hAnsi="Atkinson Hyperlegible"/>
        </w:rPr>
        <w:t xml:space="preserve">§5, Proposition 4: Steps 2 to 4 superseded. Not a puncture through the actualised side. The ring by ruling. The conclusion stands on §2 here, with its debt paid.</w:t>
      </w:r>
    </w:p>
    <w:p>
      <w:pPr>
        <w:pStyle w:val="ListParagraph"/>
        <w:numPr>
          <w:ilvl w:val="0"/>
          <w:numId w:val="2"/>
        </w:numPr>
        <w:spacing w:after="100" w:line="300"/>
      </w:pPr>
      <w:r>
        <w:rPr>
          <w:rFonts w:ascii="Atkinson Hyperlegible" w:cs="Atkinson Hyperlegible" w:eastAsia="Atkinson Hyperlegible" w:hAnsi="Atkinson Hyperlegible"/>
        </w:rPr>
        <w:t xml:space="preserve">§0.7, §5 (the note under Proposition 4), KS-R.9 and the conditionality footer: “the 0.69% agreement supports it” withdrawn at each locus. The sub-debt paid on the identity of the neck with the grain. The elimination table of §2 entered beside it as record.</w:t>
      </w:r>
    </w:p>
    <w:p>
      <w:pPr>
        <w:pStyle w:val="ListParagraph"/>
        <w:numPr>
          <w:ilvl w:val="0"/>
          <w:numId w:val="2"/>
        </w:numPr>
        <w:spacing w:after="100" w:line="300"/>
      </w:pPr>
      <w:r>
        <w:rPr>
          <w:rFonts w:ascii="Atkinson Hyperlegible" w:cs="Atkinson Hyperlegible" w:eastAsia="Atkinson Hyperlegible" w:hAnsi="Atkinson Hyperlegible"/>
        </w:rPr>
        <w:t xml:space="preserve">§5, Proposition 1, Reading 5: c² = α/β corrected to c² = β/α (L9 on the wall).</w:t>
      </w:r>
    </w:p>
    <w:p>
      <w:pPr>
        <w:pStyle w:val="ListParagraph"/>
        <w:numPr>
          <w:ilvl w:val="0"/>
          <w:numId w:val="2"/>
        </w:numPr>
        <w:spacing w:after="100" w:line="300"/>
      </w:pPr>
      <w:r>
        <w:rPr>
          <w:rFonts w:ascii="Atkinson Hyperlegible" w:cs="Atkinson Hyperlegible" w:eastAsia="Atkinson Hyperlegible" w:hAnsi="Atkinson Hyperlegible"/>
        </w:rPr>
        <w:t xml:space="preserve">§6: “the one measured input is α_em itself” narrowed to one measured dimensionless input (L11 on the wall).</w:t>
      </w:r>
    </w:p>
    <w:p>
      <w:pPr>
        <w:pStyle w:val="ListParagraph"/>
        <w:numPr>
          <w:ilvl w:val="0"/>
          <w:numId w:val="2"/>
        </w:numPr>
        <w:spacing w:after="100" w:line="300"/>
      </w:pPr>
      <w:r>
        <w:rPr>
          <w:rFonts w:ascii="Atkinson Hyperlegible" w:cs="Atkinson Hyperlegible" w:eastAsia="Atkinson Hyperlegible" w:hAnsi="Atkinson Hyperlegible"/>
        </w:rPr>
        <w:t xml:space="preserve">KS-R.8b, KS-R.8c, KS-R.8d sharpened as in §13.</w:t>
      </w:r>
    </w:p>
    <w:p>
      <w:pPr>
        <w:pStyle w:val="Heading2"/>
        <w:spacing w:after="160" w:before="320"/>
      </w:pPr>
      <w:r>
        <w:t xml:space="preserve">AP44 — The Snap</w:t>
      </w:r>
    </w:p>
    <w:p>
      <w:pPr>
        <w:pStyle w:val="ListParagraph"/>
        <w:numPr>
          <w:ilvl w:val="0"/>
          <w:numId w:val="2"/>
        </w:numPr>
        <w:spacing w:after="100" w:line="300"/>
      </w:pPr>
      <w:r>
        <w:rPr>
          <w:rFonts w:ascii="Atkinson Hyperlegible" w:cs="Atkinson Hyperlegible" w:eastAsia="Atkinson Hyperlegible" w:hAnsi="Atkinson Hyperlegible"/>
        </w:rPr>
        <w:t xml:space="preserve">§2, Proposition 1: the premise supplied. The break is the first record. Grains pass one per click. The order total and well-founded (§9 here).</w:t>
      </w:r>
    </w:p>
    <w:p>
      <w:pPr>
        <w:pStyle w:val="ListParagraph"/>
        <w:numPr>
          <w:ilvl w:val="0"/>
          <w:numId w:val="2"/>
        </w:numPr>
        <w:spacing w:after="100" w:line="300"/>
      </w:pPr>
      <w:r>
        <w:rPr>
          <w:rFonts w:ascii="Atkinson Hyperlegible" w:cs="Atkinson Hyperlegible" w:eastAsia="Atkinson Hyperlegible" w:hAnsi="Atkinson Hyperlegible"/>
        </w:rPr>
        <w:t xml:space="preserve">§5 and §0.6: the value of ε from SELECTED AMONG STRUCTURAL CANDIDATES to READ BY RULE, three instances (§6 here). D-CCC.4 closed on the rule.</w:t>
      </w:r>
    </w:p>
    <w:p>
      <w:pPr>
        <w:pStyle w:val="ListParagraph"/>
        <w:numPr>
          <w:ilvl w:val="0"/>
          <w:numId w:val="2"/>
        </w:numPr>
        <w:spacing w:after="100" w:line="300"/>
      </w:pPr>
      <w:r>
        <w:rPr>
          <w:rFonts w:ascii="Atkinson Hyperlegible" w:cs="Atkinson Hyperlegible" w:eastAsia="Atkinson Hyperlegible" w:hAnsi="Atkinson Hyperlegible"/>
        </w:rPr>
        <w:t xml:space="preserve">§5: the quotient’s ground restated as the leak booked against what is held (§7 here). The form unchanged.</w:t>
      </w:r>
    </w:p>
    <w:p>
      <w:pPr>
        <w:pStyle w:val="ListParagraph"/>
        <w:numPr>
          <w:ilvl w:val="0"/>
          <w:numId w:val="2"/>
        </w:numPr>
        <w:spacing w:after="100" w:line="300"/>
      </w:pPr>
      <w:r>
        <w:rPr>
          <w:rFonts w:ascii="Atkinson Hyperlegible" w:cs="Atkinson Hyperlegible" w:eastAsia="Atkinson Hyperlegible" w:hAnsi="Atkinson Hyperlegible"/>
        </w:rPr>
        <w:t xml:space="preserve">§7, Proposition 6, and KS-CCC.6: from extension to rule (§8 here). The coupling to KS-R.9 released.</w:t>
      </w:r>
    </w:p>
    <w:p>
      <w:pPr>
        <w:pStyle w:val="ListParagraph"/>
        <w:numPr>
          <w:ilvl w:val="0"/>
          <w:numId w:val="2"/>
        </w:numPr>
        <w:spacing w:after="100" w:line="300"/>
      </w:pPr>
      <w:r>
        <w:rPr>
          <w:rFonts w:ascii="Atkinson Hyperlegible" w:cs="Atkinson Hyperlegible" w:eastAsia="Atkinson Hyperlegible" w:hAnsi="Atkinson Hyperlegible"/>
        </w:rPr>
        <w:t xml:space="preserve">KS-CCC.1 sharpened as in §13.</w:t>
      </w:r>
    </w:p>
    <w:p>
      <w:pPr>
        <w:pStyle w:val="Heading2"/>
        <w:spacing w:after="160" w:before="320"/>
      </w:pPr>
      <w:r>
        <w:t xml:space="preserve">AP10 — The Dimension</w:t>
      </w:r>
    </w:p>
    <w:p>
      <w:pPr>
        <w:pStyle w:val="ListParagraph"/>
        <w:numPr>
          <w:ilvl w:val="0"/>
          <w:numId w:val="2"/>
        </w:numPr>
        <w:spacing w:after="100" w:line="300"/>
      </w:pPr>
      <w:r>
        <w:rPr>
          <w:rFonts w:ascii="Atkinson Hyperlegible" w:cs="Atkinson Hyperlegible" w:eastAsia="Atkinson Hyperlegible" w:hAnsi="Atkinson Hyperlegible"/>
        </w:rPr>
        <w:t xml:space="preserve">No note. The potential side as the probability dimension prior to the manifold is AP10 §7’s own reading.</w:t>
      </w:r>
    </w:p>
    <w:p>
      <w:r>
        <w:br w:type="page"/>
      </w:r>
    </w:p>
    <w:p>
      <w:pPr>
        <w:pStyle w:val="Heading1"/>
        <w:spacing w:after="240" w:before="480"/>
      </w:pPr>
      <w:r>
        <w:t xml:space="preserve">Claim Summary</w:t>
      </w:r>
    </w:p>
    <w:p>
      <w:pPr>
        <w:spacing w:after="160" w:before="0" w:line="300"/>
      </w:pPr>
      <w:r>
        <w:rPr>
          <w:rFonts w:ascii="Atkinson Hyperlegible" w:cs="Atkinson Hyperlegible" w:eastAsia="Atkinson Hyperlegible" w:hAnsi="Atkinson Hyperlegible"/>
        </w:rPr>
        <w:t>Section 0. Contract with the reader. What is forced, ruled, identified. The residual known and not used. The picture published in January 2026 and held by the Internet Archive.</w:t>
      </w:r>
    </w:p>
    <w:p>
      <w:pPr>
        <w:spacing w:after="160" w:before="0" w:line="300"/>
      </w:pPr>
      <w:r>
        <w:rPr>
          <w:rFonts w:ascii="Atkinson Hyperlegible" w:cs="Atkinson Hyperlegible" w:eastAsia="Atkinson Hyperlegible" w:hAnsi="Atkinson Hyperlegible"/>
        </w:rPr>
        <w:t>Section 1. THE AUTHOR’S. The hourglass, written in The Keys and published. Read into the corpus’s objects row by row. Not a fifth premise. The axiom told.</w:t>
      </w:r>
    </w:p>
    <w:p>
      <w:pPr>
        <w:spacing w:after="160" w:before="0" w:line="300"/>
      </w:pPr>
      <w:r>
        <w:rPr>
          <w:rFonts w:ascii="Atkinson Hyperlegible" w:cs="Atkinson Hyperlegible" w:eastAsia="Atkinson Hyperlegible" w:hAnsi="Atkinson Hyperlegible"/>
        </w:rPr>
        <w:t xml:space="preserve">Section 2. DERIVED; RULED. Not a puncture. A ring with through-passage, by ruling. The grain’s own aperture, by ruling. So r = 1 by identity and the weight 1/π. The numerator forced by the axiom’s +1×ε. The elimination entered as record, order disclosed. KS-R.9’s sub-debt paid.</w:t>
      </w:r>
    </w:p>
    <w:p>
      <w:pPr>
        <w:spacing w:after="160" w:before="0" w:line="300"/>
      </w:pPr>
      <w:r>
        <w:rPr>
          <w:rFonts w:ascii="Atkinson Hyperlegible" w:cs="Atkinson Hyperlegible" w:eastAsia="Atkinson Hyperlegible" w:hAnsi="Atkinson Hyperlegible"/>
        </w:rPr>
        <w:t xml:space="preserve">Section 3. RULED; DERIVED. The six readings by operation: landed, the holding, the record of the hold. The criterion operational. The proton and its holders the instances. The two fours kept apart. Why exactly one of the six is dimensionless: the holding is the now, and the now never holds.</w:t>
      </w:r>
    </w:p>
    <w:p>
      <w:pPr>
        <w:spacing w:after="160" w:before="0" w:line="300"/>
      </w:pPr>
      <w:r>
        <w:rPr>
          <w:rFonts w:ascii="Atkinson Hyperlegible" w:cs="Atkinson Hyperlegible" w:eastAsia="Atkinson Hyperlegible" w:hAnsi="Atkinson Hyperlegible"/>
        </w:rPr>
        <w:t xml:space="preserve">Section 4. RULED; DERIVED. Eighteen held. Three written, by the same rule as the eighteen. The writing does not couple to time.</w:t>
      </w:r>
    </w:p>
    <w:p>
      <w:pPr>
        <w:spacing w:after="160" w:before="0" w:line="300"/>
      </w:pPr>
      <w:r>
        <w:rPr>
          <w:rFonts w:ascii="Atkinson Hyperlegible" w:cs="Atkinson Hyperlegible" w:eastAsia="Atkinson Hyperlegible" w:hAnsi="Atkinson Hyperlegible"/>
        </w:rPr>
        <w:t xml:space="preserve">Section 5. RULED; DERIVED; IDENTIFIED. A gate is a completed exchange worth α, not a single vertex. A conjunction at the neck: product over sum. Independence claimed and fenced on the shared-condition counterexample. The worth α an identification. Gravity one object in two roles. The neck never counted.</w:t>
      </w:r>
    </w:p>
    <w:p>
      <w:pPr>
        <w:spacing w:after="160" w:before="0" w:line="300"/>
      </w:pPr>
      <w:r>
        <w:rPr>
          <w:rFonts w:ascii="Atkinson Hyperlegible" w:cs="Atkinson Hyperlegible" w:eastAsia="Atkinson Hyperlegible" w:hAnsi="Atkinson Hyperlegible"/>
        </w:rPr>
        <w:t xml:space="preserve">Section 6. RULED; READ BY RULE. The commitment is the arena’s act of holding the break. Not a grain. An act of holding is read in α, once. The landed is mass. AP49’s holders the instance not written for. D-CCC.4 closes at lock.</w:t>
      </w:r>
    </w:p>
    <w:p>
      <w:pPr>
        <w:spacing w:after="160" w:before="0" w:line="300"/>
      </w:pPr>
      <w:r>
        <w:rPr>
          <w:rFonts w:ascii="Atkinson Hyperlegible" w:cs="Atkinson Hyperlegible" w:eastAsia="Atkinson Hyperlegible" w:hAnsi="Atkinson Hyperlegible"/>
        </w:rPr>
        <w:t xml:space="preserve">Section 7. RULED; DERIVED. The leak of the leak. One chain. Two bookings. A returned leak one term. No frozen number moves.</w:t>
      </w:r>
    </w:p>
    <w:p>
      <w:pPr>
        <w:spacing w:after="160" w:before="0" w:line="300"/>
      </w:pPr>
      <w:r>
        <w:rPr>
          <w:rFonts w:ascii="Atkinson Hyperlegible" w:cs="Atkinson Hyperlegible" w:eastAsia="Atkinson Hyperlegible" w:hAnsi="Atkinson Hyperlegible"/>
        </w:rPr>
        <w:t xml:space="preserve">Section 8. RULED; DERIVED. One grain uncoupled at every now, the +1×ε, at the neck’s measure. The arena’s holding of the break in α. Three factors as three things. The bound ruled and fenced. KS-CCC.6 from extension to rule.</w:t>
      </w:r>
    </w:p>
    <w:p>
      <w:pPr>
        <w:spacing w:after="160" w:before="0" w:line="300"/>
      </w:pPr>
      <w:r>
        <w:rPr>
          <w:rFonts w:ascii="Atkinson Hyperlegible" w:cs="Atkinson Hyperlegible" w:eastAsia="Atkinson Hyperlegible" w:hAnsi="Atkinson Hyperlegible"/>
        </w:rPr>
        <w:t xml:space="preserve">Section 9. RULED; DERIVED. The tip. One per click. A total, well-founded order. The least element unique.</w:t>
      </w:r>
    </w:p>
    <w:p>
      <w:pPr>
        <w:spacing w:after="160" w:before="0" w:line="300"/>
      </w:pPr>
      <w:r>
        <w:rPr>
          <w:rFonts w:ascii="Atkinson Hyperlegible" w:cs="Atkinson Hyperlegible" w:eastAsia="Atkinson Hyperlegible" w:hAnsi="Atkinson Hyperlegible"/>
        </w:rPr>
        <w:t xml:space="preserve">Section 10. RULED. α(0). The audit closed. D-EM.1 open.</w:t>
      </w:r>
    </w:p>
    <w:p>
      <w:pPr>
        <w:spacing w:after="160" w:before="0" w:line="300"/>
      </w:pPr>
      <w:r>
        <w:rPr>
          <w:rFonts w:ascii="Atkinson Hyperlegible" w:cs="Atkinson Hyperlegible" w:eastAsia="Atkinson Hyperlegible" w:hAnsi="Atkinson Hyperlegible"/>
        </w:rPr>
        <w:t>Sections 11–14. Plain words. Refusals. Four switches armed at lock and six sharpened or paid. The dated notes listed.</w:t>
      </w:r>
    </w:p>
    <w:p/>
    <w:p>
      <w:pPr>
        <w:pStyle w:val="Heading1"/>
        <w:spacing w:after="240" w:before="480"/>
      </w:pPr>
      <w:r>
        <w:t xml:space="preserve">Conditionality Footer</w:t>
      </w:r>
    </w:p>
    <w:p>
      <w:pPr>
        <w:spacing w:after="160" w:before="0" w:line="300"/>
      </w:pPr>
      <w:r>
        <w:rPr>
          <w:rFonts w:ascii="Atkinson Hyperlegible" w:cs="Atkinson Hyperlegible" w:eastAsia="Atkinson Hyperlegible" w:hAnsi="Atkinson Hyperlegible"/>
        </w:rPr>
        <w:t>Everything above is conditional on the axiom and its locked developments. It is exactly as strong as they are. If AP24’s six faces or AP10’s three dimensions fall, the count falls with them. If §3’s rule falls, §6 and §8 fall. AP44’s value reverts to SELECTED. If the neck is shown to be a hole distinct from the grain, or the unit shown to be other than the radius, the radius is unfixed. The factor and G move with it. Nothing here moves a frozen number. The switches are armed at lock, on the author’s word.</w:t>
      </w:r>
    </w:p>
    <w:p>
      <w:pPr>
        <w:spacing w:after="160" w:before="0" w:line="300"/>
      </w:pPr>
      <w:r>
        <w:rPr>
          <w:rFonts w:ascii="Atkinson Hyperlegible" w:cs="Atkinson Hyperlegible" w:eastAsia="Atkinson Hyperlegible" w:hAnsi="Atkinson Hyperlegible"/>
          <w:b w:val="false"/>
          <w:bCs w:val="false"/>
          <w:i/>
          <w:iCs/>
        </w:rPr>
        <w:t>Dependencies. Ø Dissolutions. AP28 (§§3–6; Propositions 1–5; KS-R.8–R.9). AP44 (§§2–7; KS-CCC.1, KS-CCC.6; D-CCC.4). AP24. AP06 (§0.7, §10.7). AP10 (§0.3, §7). AP20 (§4.2, §6). AP01. AP25. AP30 and AP49. The Keys, Edition 01, Book 1 (published January 2026; Internet Archive capture 20 January 2026; working copy SHA-256 b3b24316…). CODATA 2022.</w:t>
      </w:r>
    </w:p>
    <w:p>
      <w:pPr>
        <w:spacing w:after="160" w:before="0" w:line="300"/>
      </w:pPr>
      <w:r>
        <w:rPr>
          <w:rFonts w:ascii="Atkinson Hyperlegible" w:cs="Atkinson Hyperlegible" w:eastAsia="Atkinson Hyperlegible" w:hAnsi="Atkinson Hyperlegible"/>
          <w:b w:val="false"/>
          <w:bCs w:val="false"/>
          <w:i/>
          <w:iCs/>
        </w:rPr>
        <w:t xml:space="preserve">Dependents. AP28 and AP44 (their dated notes). The Master Kill Switch Registry (KS-NECK.1–4 at arming; the sharpenings). The Museum’s AP28 + AP44 entries. AP48. AP45, AP46. AP51 The Glass.</w:t>
      </w:r>
    </w:p>
    <w:p>
      <w:pPr>
        <w:spacing w:after="160" w:before="0" w:line="300"/>
      </w:pPr>
      <w:r>
        <w:rPr>
          <w:rFonts w:ascii="Atkinson Hyperlegible" w:cs="Atkinson Hyperlegible" w:eastAsia="Atkinson Hyperlegible" w:hAnsi="Atkinson Hyperlegible"/>
          <w:b w:val="false"/>
          <w:bCs w:val="false"/>
          <w:i/>
          <w:iCs/>
        </w:rPr>
        <w:t xml:space="preserve">Kill switches paid by this paper. KS-R.9’s sub-debt (§2). Debts closed. D-CCC.4, on the rule of §6, at lock.</w:t>
      </w:r>
    </w:p>
    <w:p>
      <w:pPr>
        <w:spacing w:after="160" w:before="0" w:line="300"/>
      </w:pPr>
      <w:r>
        <w:rPr>
          <w:rFonts w:ascii="Atkinson Hyperlegible" w:cs="Atkinson Hyperlegible" w:eastAsia="Atkinson Hyperlegible" w:hAnsi="Atkinson Hyperlegible"/>
          <w:b w:val="false"/>
          <w:bCs w:val="false"/>
          <w:i/>
          <w:iCs/>
        </w:rPr>
        <w:t>Kill switches that remain live. KS-NECK.1–4 (armed at lock). KS-R.8b, KS-R.8c, KS-R.8d, KS-R.9, KS-CCC.1, KS-CCC.6 as sharpened.</w:t>
      </w:r>
    </w:p>
    <w:p/>
    <w:p>
      <w:pPr>
        <w:pStyle w:val="Heading2"/>
        <w:spacing w:after="160" w:before="320"/>
      </w:pPr>
      <w:r>
        <w:t xml:space="preserve">Provenance</w:t>
      </w:r>
    </w:p>
    <w:p>
      <w:pPr>
        <w:spacing w:after="160" w:before="0" w:line="300"/>
      </w:pPr>
      <w:r>
        <w:rPr>
          <w:rFonts w:ascii="Atkinson Hyperlegible" w:cs="Atkinson Hyperlegible" w:eastAsia="Atkinson Hyperlegible" w:hAnsi="Atkinson Hyperlegible"/>
        </w:rPr>
        <w:t>Every claim, ruling and switch in this paper is the author’s. The picture is his, written in December 2025 and published at the420code.org in January 2026, where the Internet Archive holds it (The Keys, Edition 01, Book 1). He gave it to the desk on 8 September 2026. It was read back row by row. The rulings this draft rests on were given the same day in chat, on the desk’s consolidated list after seven independent reviews of v0.1, and that night on the neck as the grain’s own aperture. Four further reviews of v0.7 were worked on 9 September. The desk’s own review pass the same day. A third round of three reviews with AP51 and AP52 after that. A fourth, the Kimi audit, the same day. A fifth round of five reviews on 10 September, worked narrowly at his instruction. His rulings of 11 September 2026 were given in the chat and are recorded in the instrument beside this paper. The draft was re-voiced in the register of the Rosin Ø Proofs on 9 September at his instruction, and again in short sentences the same day. Content unchanged. Every intermediate retained. Locked in the wave of the four. The switches armed at lock. P-GLASS.1 frozen where the paper says.</w:t>
      </w:r>
    </w:p>
    <w:p/>
    <w:p>
      <w:pPr>
        <w:spacing w:after="160" w:before="0" w:line="300"/>
      </w:pPr>
      <w:r>
        <w:rPr>
          <w:rFonts w:ascii="Atkinson Hyperlegible" w:cs="Atkinson Hyperlegible" w:eastAsia="Atkinson Hyperlegible" w:hAnsi="Atkinson Hyperlegible"/>
          <w:b w:val="false"/>
          <w:bCs w:val="false"/>
          <w:i/>
          <w:iCs/>
        </w:rPr>
        <w:t>FINAL v1.0 — 11 September 2026 — locked in the wave of the four, at the author’s word.</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tkinson Hyperlegible" w:cs="Atkinson Hyperlegible" w:eastAsia="Atkinson Hyperlegible" w:hAnsi="Atkinson Hyperlegible"/>
      <w:b/>
      <w:bCs/>
      <w:sz w:val="32"/>
      <w:szCs w:val="32"/>
    </w:rPr>
  </w:style>
  <w:style w:type="paragraph" w:styleId="Heading2">
    <w:name w:val="Heading 2"/>
    <w:basedOn w:val="Normal"/>
    <w:next w:val="Normal"/>
    <w:qFormat/>
    <w:pPr>
      <w:spacing w:after="160" w:before="320"/>
      <w:outlineLvl w:val="1"/>
    </w:pPr>
    <w:rPr>
      <w:rFonts w:ascii="Atkinson Hyperlegible" w:cs="Atkinson Hyperlegible" w:eastAsia="Atkinson Hyperlegible" w:hAnsi="Atkinson Hyperlegible"/>
      <w:b/>
      <w:bCs/>
      <w:sz w:val="26"/>
      <w:szCs w:val="26"/>
    </w:rPr>
  </w:style>
  <w:style w:type="paragraph" w:styleId="Heading3">
    <w:name w:val="Heading 3"/>
    <w:basedOn w:val="Normal"/>
    <w:next w:val="Normal"/>
    <w:qFormat/>
    <w:pPr>
      <w:spacing w:after="120" w:before="240"/>
      <w:outlineLvl w:val="2"/>
    </w:pPr>
    <w:rPr>
      <w:rFonts w:ascii="Atkinson Hyperlegible" w:cs="Atkinson Hyperlegible" w:eastAsia="Atkinson Hyperlegible" w:hAnsi="Atkinson Hyperlegible"/>
      <w:b/>
      <w:bCs/>
      <w:i/>
      <w:i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dd0ec662f1410e8a95add710ce9aad49884e7e2.png"/><Relationship Id="rId8" Type="http://schemas.openxmlformats.org/officeDocument/2006/relationships/fontTable" Target="fontTable.xml"/><Relationship Id="rId9"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AP50 The Neck — FINAL v1.0</dc:title>
  <dc:creator>Studio G</dc:creator>
  <cp:lastModifiedBy>Studio G</cp:lastModifiedBy>
  <cp:revision>1</cp:revision>
  <dcterms:created xsi:type="dcterms:W3CDTF">2026-09-09T17:41:36.946Z</dcterms:created>
  <dcterms:modified xsi:type="dcterms:W3CDTF">2026-09-09T17:41:36.947Z</dcterms:modified>
  <dc:subject>The forcing of the count. Notebook IV — Forces and Constants.</dc:subject>
  <cp:category>Artist's Proof</cp:category>
  <dc:description>The 420 Code. Copyleft 2026. the420code.org</dc:description>
</cp:coreProperties>
</file>

<file path=docProps/custom.xml><?xml version="1.0" encoding="utf-8"?>
<Properties xmlns="http://schemas.openxmlformats.org/officeDocument/2006/custom-properties" xmlns:vt="http://schemas.openxmlformats.org/officeDocument/2006/docPropsVTypes"/>
</file>