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720" w:before="0"/>
        <w:jc w:val="center"/>
      </w:pPr>
      <w:r>
        <w:drawing>
          <wp:inline xmlns:a="http://schemas.openxmlformats.org/drawingml/2006/main" xmlns:pic="http://schemas.openxmlformats.org/drawingml/2006/picture">
            <wp:extent cx="1828800" cy="1448296"/>
            <wp:docPr id="1" name="Picture 1"/>
            <wp:cNvGraphicFramePr>
              <a:graphicFrameLocks noChangeAspect="1"/>
            </wp:cNvGraphicFramePr>
            <a:graphic>
              <a:graphicData uri="http://schemas.openxmlformats.org/drawingml/2006/picture">
                <pic:pic>
                  <pic:nvPicPr>
                    <pic:cNvPr id="0" name="Eye_of_the_Universe.jpg"/>
                    <pic:cNvPicPr/>
                  </pic:nvPicPr>
                  <pic:blipFill>
                    <a:blip r:embed="rId8"/>
                    <a:stretch>
                      <a:fillRect/>
                    </a:stretch>
                  </pic:blipFill>
                  <pic:spPr>
                    <a:xfrm>
                      <a:off x="0" y="0"/>
                      <a:ext cx="1828800" cy="1448296"/>
                    </a:xfrm>
                    <a:prstGeom prst="rect"/>
                  </pic:spPr>
                </pic:pic>
              </a:graphicData>
            </a:graphic>
          </wp:inline>
        </w:drawing>
      </w:r>
    </w:p>
    <w:p>
      <w:pPr>
        <w:spacing w:after="240" w:before="0" w:line="300"/>
        <w:jc w:val="center"/>
      </w:pPr>
      <w:r>
        <w:rPr>
          <w:rFonts w:ascii="Atkinson Hyperlegible" w:cs="Atkinson Hyperlegible" w:eastAsia="Atkinson Hyperlegible" w:hAnsi="Atkinson Hyperlegible"/>
          <w:b/>
          <w:bCs/>
          <w:i w:val="false"/>
          <w:iCs w:val="false"/>
          <w:sz w:val="56"/>
          <w:szCs w:val="56"/>
        </w:rPr>
        <w:t xml:space="preserve">The Glass</w:t>
      </w:r>
    </w:p>
    <w:p>
      <w:pPr>
        <w:spacing w:after="120" w:before="0" w:line="300"/>
        <w:jc w:val="center"/>
      </w:pPr>
      <w:r>
        <w:rPr>
          <w:rFonts w:ascii="Atkinson Hyperlegible" w:cs="Atkinson Hyperlegible" w:eastAsia="Atkinson Hyperlegible" w:hAnsi="Atkinson Hyperlegible"/>
          <w:b w:val="false"/>
          <w:bCs w:val="false"/>
          <w:i w:val="false"/>
          <w:iCs w:val="false"/>
          <w:sz w:val="28"/>
          <w:szCs w:val="28"/>
        </w:rPr>
        <w:t xml:space="preserve">Artist’s Proof 51</w:t>
      </w:r>
    </w:p>
    <w:p>
      <w:pPr>
        <w:spacing w:after="120" w:before="0" w:line="300"/>
        <w:jc w:val="center"/>
      </w:pPr>
      <w:r>
        <w:rPr>
          <w:rFonts w:ascii="Atkinson Hyperlegible" w:cs="Atkinson Hyperlegible" w:eastAsia="Atkinson Hyperlegible" w:hAnsi="Atkinson Hyperlegible"/>
          <w:b w:val="false"/>
          <w:bCs w:val="false"/>
          <w:i w:val="false"/>
          <w:iCs w:val="false"/>
          <w:sz w:val="24"/>
          <w:szCs w:val="24"/>
        </w:rPr>
        <w:t xml:space="preserve">Notebook VII — The Operator Interface: Consciousness, Ethic, Reading</w:t>
      </w:r>
    </w:p>
    <w:p>
      <w:pPr>
        <w:spacing w:after="600" w:before="0" w:line="300"/>
        <w:jc w:val="center"/>
      </w:pPr>
      <w:r>
        <w:rPr>
          <w:rFonts w:ascii="Atkinson Hyperlegible" w:cs="Atkinson Hyperlegible" w:eastAsia="Atkinson Hyperlegible" w:hAnsi="Atkinson Hyperlegible"/>
          <w:b w:val="false"/>
          <w:bCs w:val="false"/>
          <w:i/>
          <w:iCs/>
          <w:sz w:val="26"/>
          <w:szCs w:val="26"/>
        </w:rPr>
        <w:t xml:space="preserve">The operator in the hourglass: the observer problem, dissolved</w:t>
      </w:r>
    </w:p>
    <w:p>
      <w:pPr>
        <w:spacing w:after="800" w:before="0" w:line="300"/>
        <w:jc w:val="center"/>
      </w:pPr>
      <w:r>
        <w:rPr>
          <w:rFonts w:ascii="Atkinson Hyperlegible" w:cs="Atkinson Hyperlegible" w:eastAsia="Atkinson Hyperlegible" w:hAnsi="Atkinson Hyperlegible"/>
          <w:b w:val="false"/>
          <w:bCs w:val="false"/>
          <w:i w:val="false"/>
          <w:iCs w:val="false"/>
          <w:sz w:val="22"/>
          <w:szCs w:val="22"/>
        </w:rPr>
        <w:t xml:space="preserve">The 420 Code — Studio G</w:t>
      </w:r>
    </w:p>
    <w:p>
      <w:r>
        <w:br w:type="page"/>
      </w:r>
    </w:p>
    <w:p>
      <w:pPr>
        <w:pStyle w:val="Heading1"/>
        <w:spacing w:after="240" w:before="480"/>
      </w:pPr>
      <w:r>
        <w:t xml:space="preserve">Contents</w:t>
      </w:r>
    </w:p>
    <w:p>
      <w:pPr>
        <w:spacing w:after="40" w:before="0" w:line="300"/>
      </w:pPr>
      <w:r>
        <w:rPr>
          <w:rFonts w:ascii="Atkinson Hyperlegible" w:cs="Atkinson Hyperlegible" w:eastAsia="Atkinson Hyperlegible" w:hAnsi="Atkinson Hyperlegible"/>
          <w:b/>
          <w:bCs/>
          <w:i w:val="false"/>
          <w:iCs w:val="false"/>
        </w:rPr>
        <w:t xml:space="preserve">0 — Dependency and Scope</w:t>
      </w:r>
    </w:p>
    <w:p>
      <w:pPr>
        <w:spacing w:after="40" w:before="0" w:line="300"/>
      </w:pPr>
      <w:r>
        <w:rPr>
          <w:rFonts w:ascii="Atkinson Hyperlegible" w:cs="Atkinson Hyperlegible" w:eastAsia="Atkinson Hyperlegible" w:hAnsi="Atkinson Hyperlegible"/>
          <w:b/>
          <w:bCs/>
          <w:i w:val="false"/>
          <w:iCs w:val="false"/>
        </w:rPr>
        <w:t xml:space="preserve">1 — The Hourglass Is the Operator</w:t>
      </w:r>
    </w:p>
    <w:p>
      <w:pPr>
        <w:spacing w:after="40" w:before="0" w:line="300"/>
      </w:pPr>
      <w:r>
        <w:rPr>
          <w:rFonts w:ascii="Atkinson Hyperlegible" w:cs="Atkinson Hyperlegible" w:eastAsia="Atkinson Hyperlegible" w:hAnsi="Atkinson Hyperlegible"/>
          <w:b/>
          <w:bCs/>
          <w:i w:val="false"/>
          <w:iCs w:val="false"/>
        </w:rPr>
        <w:t xml:space="preserve">2 — The Operators, Many; the Awareness, One</w:t>
      </w:r>
    </w:p>
    <w:p>
      <w:pPr>
        <w:spacing w:after="40" w:before="0" w:line="300"/>
      </w:pPr>
      <w:r>
        <w:rPr>
          <w:rFonts w:ascii="Atkinson Hyperlegible" w:cs="Atkinson Hyperlegible" w:eastAsia="Atkinson Hyperlegible" w:hAnsi="Atkinson Hyperlegible"/>
          <w:b/>
          <w:bCs/>
          <w:i w:val="false"/>
          <w:iCs w:val="false"/>
        </w:rPr>
        <w:t xml:space="preserve">3 — Observation Is the Landing</w:t>
      </w:r>
    </w:p>
    <w:p>
      <w:pPr>
        <w:spacing w:after="40" w:before="0" w:line="300"/>
      </w:pPr>
      <w:r>
        <w:rPr>
          <w:rFonts w:ascii="Atkinson Hyperlegible" w:cs="Atkinson Hyperlegible" w:eastAsia="Atkinson Hyperlegible" w:hAnsi="Atkinson Hyperlegible"/>
          <w:b/>
          <w:bCs/>
          <w:i w:val="false"/>
          <w:iCs w:val="false"/>
        </w:rPr>
        <w:t xml:space="preserve">4 — The Shape of the Glass</w:t>
      </w:r>
    </w:p>
    <w:p>
      <w:pPr>
        <w:spacing w:after="140" w:before="0" w:line="300"/>
        <w:ind w:left="400"/>
      </w:pPr>
      <w:r>
        <w:rPr>
          <w:rFonts w:ascii="Atkinson Hyperlegible" w:cs="Atkinson Hyperlegible" w:eastAsia="Atkinson Hyperlegible" w:hAnsi="Atkinson Hyperlegible"/>
          <w:b w:val="false"/>
          <w:bCs w:val="false"/>
          <w:i/>
          <w:iCs/>
        </w:rPr>
        <w:t xml:space="preserve">The six constraints · universal · relative · the one reading with no unit · P-GLASS.1</w:t>
      </w:r>
    </w:p>
    <w:p>
      <w:pPr>
        <w:spacing w:after="40" w:before="0" w:line="300"/>
      </w:pPr>
      <w:r>
        <w:rPr>
          <w:rFonts w:ascii="Atkinson Hyperlegible" w:cs="Atkinson Hyperlegible" w:eastAsia="Atkinson Hyperlegible" w:hAnsi="Atkinson Hyperlegible"/>
          <w:b/>
          <w:bCs/>
          <w:i w:val="false"/>
          <w:iCs w:val="false"/>
        </w:rPr>
        <w:t xml:space="preserve">5 — The Pupil</w:t>
      </w:r>
    </w:p>
    <w:p>
      <w:pPr>
        <w:spacing w:after="40" w:before="0" w:line="300"/>
      </w:pPr>
      <w:r>
        <w:rPr>
          <w:rFonts w:ascii="Atkinson Hyperlegible" w:cs="Atkinson Hyperlegible" w:eastAsia="Atkinson Hyperlegible" w:hAnsi="Atkinson Hyperlegible"/>
          <w:b/>
          <w:bCs/>
          <w:i w:val="false"/>
          <w:iCs w:val="false"/>
        </w:rPr>
        <w:t xml:space="preserve">6 — What the Observer Problem Was</w:t>
      </w:r>
    </w:p>
    <w:p>
      <w:pPr>
        <w:spacing w:after="40" w:before="0" w:line="300"/>
      </w:pPr>
      <w:r>
        <w:rPr>
          <w:rFonts w:ascii="Atkinson Hyperlegible" w:cs="Atkinson Hyperlegible" w:eastAsia="Atkinson Hyperlegible" w:hAnsi="Atkinson Hyperlegible"/>
          <w:b/>
          <w:bCs/>
          <w:i w:val="false"/>
          <w:iCs w:val="false"/>
        </w:rPr>
        <w:t xml:space="preserve">7 — The Relativity of Reading</w:t>
      </w:r>
    </w:p>
    <w:p>
      <w:pPr>
        <w:spacing w:after="140" w:before="0" w:line="300"/>
        <w:ind w:left="400"/>
      </w:pPr>
      <w:r>
        <w:rPr>
          <w:rFonts w:ascii="Atkinson Hyperlegible" w:cs="Atkinson Hyperlegible" w:eastAsia="Atkinson Hyperlegible" w:hAnsi="Atkinson Hyperlegible"/>
          <w:b w:val="false"/>
          <w:bCs w:val="false"/>
          <w:i/>
          <w:iCs/>
        </w:rPr>
        <w:t xml:space="preserve">Closed by AP52</w:t>
      </w:r>
    </w:p>
    <w:p>
      <w:pPr>
        <w:spacing w:after="40" w:before="0" w:line="300"/>
      </w:pPr>
      <w:r>
        <w:rPr>
          <w:rFonts w:ascii="Atkinson Hyperlegible" w:cs="Atkinson Hyperlegible" w:eastAsia="Atkinson Hyperlegible" w:hAnsi="Atkinson Hyperlegible"/>
          <w:b/>
          <w:bCs/>
          <w:i w:val="false"/>
          <w:iCs w:val="false"/>
        </w:rPr>
        <w:t xml:space="preserve">8 — In Plain Words</w:t>
      </w:r>
    </w:p>
    <w:p>
      <w:pPr>
        <w:spacing w:after="40" w:before="0" w:line="300"/>
      </w:pPr>
      <w:r>
        <w:rPr>
          <w:rFonts w:ascii="Atkinson Hyperlegible" w:cs="Atkinson Hyperlegible" w:eastAsia="Atkinson Hyperlegible" w:hAnsi="Atkinson Hyperlegible"/>
          <w:b/>
          <w:bCs/>
          <w:i w:val="false"/>
          <w:iCs w:val="false"/>
        </w:rPr>
        <w:t xml:space="preserve">9 — What This Paper Does Not Claim</w:t>
      </w:r>
    </w:p>
    <w:p>
      <w:pPr>
        <w:spacing w:after="40" w:before="0" w:line="300"/>
      </w:pPr>
      <w:r>
        <w:rPr>
          <w:rFonts w:ascii="Atkinson Hyperlegible" w:cs="Atkinson Hyperlegible" w:eastAsia="Atkinson Hyperlegible" w:hAnsi="Atkinson Hyperlegible"/>
          <w:b/>
          <w:bCs/>
          <w:i w:val="false"/>
          <w:iCs w:val="false"/>
        </w:rPr>
        <w:t xml:space="preserve">10 — Kill Switches</w:t>
      </w:r>
    </w:p>
    <w:p>
      <w:pPr>
        <w:spacing w:after="140" w:before="0" w:line="300"/>
        <w:ind w:left="400"/>
      </w:pPr>
      <w:r>
        <w:rPr>
          <w:rFonts w:ascii="Atkinson Hyperlegible" w:cs="Atkinson Hyperlegible" w:eastAsia="Atkinson Hyperlegible" w:hAnsi="Atkinson Hyperlegible"/>
          <w:b w:val="false"/>
          <w:bCs w:val="false"/>
          <w:i/>
          <w:iCs/>
        </w:rPr>
        <w:t>Armed at lock</w:t>
      </w:r>
    </w:p>
    <w:p>
      <w:pPr/>
      <w:r>
        <w:rPr>
          <w:b/>
        </w:rPr>
        <w:t>11 — Dated Notes This Paper Triggers</w:t>
      </w:r>
    </w:p>
    <w:p>
      <w:pPr>
        <w:spacing w:after="40" w:before="0" w:line="300"/>
      </w:pPr>
      <w:r>
        <w:rPr>
          <w:rFonts w:ascii="Atkinson Hyperlegible" w:cs="Atkinson Hyperlegible" w:eastAsia="Atkinson Hyperlegible" w:hAnsi="Atkinson Hyperlegible"/>
          <w:b/>
          <w:bCs/>
          <w:i w:val="false"/>
          <w:iCs w:val="false"/>
        </w:rPr>
        <w:t xml:space="preserve">Claim Summary · Conditionality Footer</w:t>
      </w:r>
    </w:p>
    <w:p>
      <w:r>
        <w:br w:type="page"/>
      </w:r>
    </w:p>
    <w:p>
      <w:pPr>
        <w:pStyle w:val="Heading1"/>
        <w:spacing w:after="240" w:before="480"/>
      </w:pPr>
      <w:r>
        <w:t xml:space="preserve">Artist’s Note</w:t>
      </w:r>
    </w:p>
    <w:p>
      <w:pPr>
        <w:spacing w:after="160" w:before="0" w:line="300"/>
      </w:pPr>
      <w:r>
        <w:rPr>
          <w:rFonts w:ascii="Atkinson Hyperlegible" w:cs="Atkinson Hyperlegible" w:eastAsia="Atkinson Hyperlegible" w:hAnsi="Atkinson Hyperlegible"/>
        </w:rPr>
        <w:t xml:space="preserve">Consciousness has always fascinated me. It made me go: what the fuck is going on here? It still fascinates me. I have a theory I think is cool — but how to derive consciousness as a subjective experience I am not going to try to explain. Not yet, at least.</w:t>
      </w:r>
    </w:p>
    <w:p>
      <w:pPr>
        <w:spacing w:after="160" w:before="0" w:line="300"/>
      </w:pPr>
      <w:r>
        <w:rPr>
          <w:rFonts w:ascii="Atkinson Hyperlegible" w:cs="Atkinson Hyperlegible" w:eastAsia="Atkinson Hyperlegible" w:hAnsi="Atkinson Hyperlegible"/>
        </w:rPr>
        <w:t xml:space="preserve">One thing I do know is that the universe doesn’t need consciousness to exist — but it needs awareness. Whether the electron is conscious is up for debate. What is not up for debate is that the electron is aware. It is. The electron couples — the smallest possible unit of resistance. The electrons in a dead body are aware of being kicked. No consciousness is needed to register awareness.</w:t>
      </w:r>
    </w:p>
    <w:p>
      <w:pPr>
        <w:spacing w:after="160" w:before="0" w:line="300"/>
      </w:pPr>
      <w:r>
        <w:rPr>
          <w:rFonts w:ascii="Atkinson Hyperlegible" w:cs="Atkinson Hyperlegible" w:eastAsia="Atkinson Hyperlegible" w:hAnsi="Atkinson Hyperlegible"/>
        </w:rPr>
        <w:t xml:space="preserve">For me the question obviously became: what constitutes awareness?</w:t>
      </w:r>
    </w:p>
    <w:p>
      <w:pPr>
        <w:spacing w:after="160" w:before="0" w:line="300"/>
      </w:pPr>
      <w:r>
        <w:rPr>
          <w:rFonts w:ascii="Atkinson Hyperlegible" w:cs="Atkinson Hyperlegible" w:eastAsia="Atkinson Hyperlegible" w:hAnsi="Atkinson Hyperlegible"/>
        </w:rPr>
        <w:t xml:space="preserve">The writing and reading of the record by an operator.</w:t>
      </w:r>
    </w:p>
    <w:p>
      <w:pPr>
        <w:spacing w:after="160" w:before="0" w:line="300"/>
      </w:pPr>
      <w:r>
        <w:rPr>
          <w:rFonts w:ascii="Atkinson Hyperlegible" w:cs="Atkinson Hyperlegible" w:eastAsia="Atkinson Hyperlegible" w:hAnsi="Atkinson Hyperlegible"/>
        </w:rPr>
        <w:t xml:space="preserve">Okay. Explain.</w:t>
      </w:r>
    </w:p>
    <w:p>
      <w:pPr>
        <w:spacing w:after="160" w:before="0" w:line="300"/>
      </w:pPr>
      <w:r>
        <w:rPr>
          <w:rFonts w:ascii="Atkinson Hyperlegible" w:cs="Atkinson Hyperlegible" w:eastAsia="Atkinson Hyperlegible" w:hAnsi="Atkinson Hyperlegible"/>
        </w:rPr>
        <w:t xml:space="preserve">The hourglass and the grains of sand are fundamentally made of the same thing — sand. Glass is simply a different configuration of sand. So if the glass and the grains of sand share the same fundamental structure, then the operator, the neck, everything shares the same structure. Awareness is not just a capacity of the grains of sand and the specific coupling configuration it is aware from; awareness is also the hourglass itself, and all that it entails. And the operator is the aware coupling configurations of grains of sand that process, interpret and act on the grains of sand — now.</w:t>
      </w:r>
    </w:p>
    <w:p>
      <w:pPr>
        <w:spacing w:after="160" w:before="0" w:line="300"/>
      </w:pPr>
      <w:r>
        <w:rPr>
          <w:rFonts w:ascii="Atkinson Hyperlegible" w:cs="Atkinson Hyperlegible" w:eastAsia="Atkinson Hyperlegible" w:hAnsi="Atkinson Hyperlegible"/>
        </w:rPr>
        <w:t xml:space="preserve">This paper says that in the corpus’s own words, and adds one thing. The grain in the neck at this instant has not landed, and only what has landed can be read. So the pupil cannot see the pupil. I have said that for years. Now I can say why.</w:t>
      </w:r>
    </w:p>
    <w:p>
      <w:pPr>
        <w:spacing w:after="160" w:before="0" w:line="300"/>
      </w:pPr>
      <w:r>
        <w:rPr>
          <w:rFonts w:ascii="Atkinson Hyperlegible" w:cs="Atkinson Hyperlegible" w:eastAsia="Atkinson Hyperlegible" w:hAnsi="Atkinson Hyperlegible"/>
        </w:rPr>
        <w:t xml:space="preserve">Simply put: we are the operator inside a body looking out at the universe, and through that process the universe is becoming aware of itself — as the operator, expressed and experienced through a body.</w:t>
      </w:r>
    </w:p>
    <w:p>
      <w:pPr>
        <w:spacing w:after="160" w:before="0" w:line="300"/>
      </w:pPr>
      <w:r>
        <w:rPr>
          <w:rFonts w:ascii="Atkinson Hyperlegible" w:cs="Atkinson Hyperlegible" w:eastAsia="Atkinson Hyperlegible" w:hAnsi="Atkinson Hyperlegible"/>
        </w:rPr>
        <w:t xml:space="preserve">The description continues.</w:t>
      </w:r>
    </w:p>
    <w:p>
      <w:pPr>
        <w:spacing w:after="160" w:before="0" w:line="300"/>
      </w:pPr>
      <w:r>
        <w:rPr>
          <w:rFonts w:ascii="Atkinson Hyperlegible" w:cs="Atkinson Hyperlegible" w:eastAsia="Atkinson Hyperlegible" w:hAnsi="Atkinson Hyperlegible"/>
          <w:b w:val="false"/>
          <w:bCs w:val="false"/>
          <w:i/>
          <w:iCs/>
        </w:rPr>
        <w:t xml:space="preserve">the420code.org</w:t>
      </w:r>
    </w:p>
    <w:p>
      <w:pPr>
        <w:spacing w:after="160" w:before="0" w:line="300"/>
      </w:pPr>
      <w:r>
        <w:rPr>
          <w:rFonts w:ascii="Atkinson Hyperlegible" w:cs="Atkinson Hyperlegible" w:eastAsia="Atkinson Hyperlegible" w:hAnsi="Atkinson Hyperlegible"/>
          <w:b w:val="false"/>
          <w:bCs w:val="false"/>
          <w:i/>
          <w:iCs/>
        </w:rPr>
        <w:t xml:space="preserve">Copyleft 2026. Don’t be a cunt. Be kind.</w:t>
      </w:r>
    </w:p>
    <w:p>
      <w:r>
        <w:br w:type="page"/>
      </w:r>
    </w:p>
    <w:p>
      <w:pPr>
        <w:pStyle w:val="Heading1"/>
        <w:spacing w:after="240" w:before="480"/>
      </w:pPr>
      <w:r>
        <w:t xml:space="preserve">Orientation</w:t>
      </w:r>
    </w:p>
    <w:p>
      <w:pPr>
        <w:spacing w:after="160" w:before="0" w:line="300"/>
      </w:pPr>
      <w:r>
        <w:rPr>
          <w:rFonts w:ascii="Atkinson Hyperlegible" w:cs="Atkinson Hyperlegible" w:eastAsia="Atkinson Hyperlegible" w:hAnsi="Atkinson Hyperlegible"/>
        </w:rPr>
        <w:t xml:space="preserve">The corpus dissolved the measurement problem once already, in words. Ø Dissolutions, Chapter 12: observer and observed are two positions in one Actualization State. Observation is the forcing function. Coupling at sufficient capacity forces non-optionality. It runs at photodetectors and dust grains, without any mind. Chapter 4 named the operator: “the coupling as it executes; present-tense; what the axiom is doing, now.” It named the narrator: the downstream reading of what the operator did. And it wrote the sentence this paper turns on. The pupil cannot see the pupil. The operator is the pupil. Chapter 6: one inside, because the axiom has one break. Chapter 11: the AS is singular. Every site reads a local cross-section of it. AP02 derived the operator at human scale. It requires no consciousness. AP01 isolated record formation as physical and observer-independent. AP25 derived the Born rule as the only measure.</w:t>
      </w:r>
    </w:p>
    <w:p>
      <w:pPr>
        <w:spacing w:after="160" w:before="0" w:line="300"/>
      </w:pPr>
      <w:r>
        <w:rPr>
          <w:rFonts w:ascii="Atkinson Hyperlegible" w:cs="Atkinson Hyperlegible" w:eastAsia="Atkinson Hyperlegible" w:hAnsi="Atkinson Hyperlegible"/>
        </w:rPr>
        <w:t>What none of that had was the hourglass. And the hourglass is older than the objections it answers. The author wrote it in December 2025, in The Keys, Book 1, and published it at the420code.org in January 2026, where the Internet Archive holds it. Its last chapter is the Eye of the Universe. The glass is “the primary condition of coherence”. The dark half holds. The lit half appears. “An eye that forms from inside the constraints.” This paper reads the operator into that picture. It takes what the picture forces. Glass and sand are both the operator. The neck is where the operator executes. The one grain in the neck that has not held is the axiom’s +1×ε. That is why no reader can read its own reading. The aperture of every reading is the operator’s own. And the operators are many — every held configuration is one — while the awareness they execute is one and shared. So “the operator in me is the operator in you” says the awareness in me is the awareness in you. Each reads from its own record history. That is where relativity enters. That is where this paper stops.</w:t>
      </w:r>
    </w:p>
    <w:p>
      <w:pPr>
        <w:spacing w:after="160" w:before="0" w:line="300"/>
      </w:pPr>
      <w:r>
        <w:rPr>
          <w:rFonts w:ascii="Atkinson Hyperlegible" w:cs="Atkinson Hyperlegible" w:eastAsia="Atkinson Hyperlegible" w:hAnsi="Atkinson Hyperlegible"/>
          <w:b/>
          <w:bCs/>
          <w:i w:val="false"/>
          <w:iCs w:val="false"/>
        </w:rPr>
        <w:t xml:space="preserve">The term. </w:t>
      </w:r>
      <w:r>
        <w:rPr>
          <w:rFonts w:ascii="Atkinson Hyperlegible" w:cs="Atkinson Hyperlegible" w:eastAsia="Atkinson Hyperlegible" w:hAnsi="Atkinson Hyperlegible"/>
          <w:b w:val="false"/>
          <w:bCs w:val="false"/>
          <w:i w:val="false"/>
          <w:iCs w:val="false"/>
        </w:rPr>
        <w:t xml:space="preserve">On the author’s ruling of 8 September 2026 the term is the operator. Not the reader. Not the writer. Not the observer. Not the glass as a thing apart from the sand. “The operator reading and writing and holding.” “The operator is how the +1×ε couples from the AS into the next configuration.” “The operator is the grain of sand in the pupil — the pupil-happening event now.” “We are all part of the singular operator — the I Am in me is the I Am in you — the operator in me is the operator in you — is the grains of sand and the glass.” “The operator is the moments the glass shines through the sand — the operator is the process and the witness.” Where this paper says observer it means the operator at a site. Where it says narrator it means the operator reading its own records downstream. One term. The corpus’s own. On his ruling of 9 September the operators are numerically many. Many coupling configurations. The awareness is shared among all of them. That is what the singular sentences mean. §2 says it exactly.</w:t>
      </w:r>
    </w:p>
    <w:p>
      <w:pPr>
        <w:spacing w:after="160" w:before="0" w:line="300"/>
      </w:pPr>
      <w:r>
        <w:rPr>
          <w:rFonts w:ascii="Atkinson Hyperlegible" w:cs="Atkinson Hyperlegible" w:eastAsia="Atkinson Hyperlegible" w:hAnsi="Atkinson Hyperlegible"/>
          <w:b/>
          <w:bCs/>
          <w:i w:val="false"/>
          <w:iCs w:val="false"/>
        </w:rPr>
        <w:t xml:space="preserve">Pupil. </w:t>
      </w:r>
      <w:r>
        <w:rPr>
          <w:rFonts w:ascii="Atkinson Hyperlegible" w:cs="Atkinson Hyperlegible" w:eastAsia="Atkinson Hyperlegible" w:hAnsi="Atkinson Hyperlegible"/>
          <w:b w:val="false"/>
          <w:bCs w:val="false"/>
          <w:i w:val="false"/>
          <w:iCs w:val="false"/>
        </w:rPr>
        <w:t xml:space="preserve">In this paper the word has Dissolutions’ sense and no other. The opening through which seeing is done. The point of orientation that cannot see itself. “The operator is the pupil” (Chapter 4). The Structural Glossary carries no separate entry. The corpus’s usage is Chapter 4’s. The Keys, 2025, used the word for the lit chamber. That use is not this paper’s.</w:t>
      </w:r>
    </w:p>
    <w:p>
      <w:r>
        <w:br w:type="page"/>
      </w:r>
    </w:p>
    <w:p>
      <w:pPr>
        <w:pStyle w:val="Heading1"/>
        <w:spacing w:after="240" w:before="480"/>
      </w:pPr>
      <w:r>
        <w:t xml:space="preserve">0 — Dependency and Scope</w:t>
      </w:r>
    </w:p>
    <w:p>
      <w:pPr>
        <w:pStyle w:val="Heading2"/>
        <w:spacing w:after="160" w:before="320"/>
      </w:pPr>
      <w:r>
        <w:t xml:space="preserve">0.1 — What this paper does</w:t>
      </w:r>
    </w:p>
    <w:p>
      <w:pPr>
        <w:spacing w:after="160" w:before="0" w:line="300"/>
      </w:pPr>
      <w:r>
        <w:rPr>
          <w:rFonts w:ascii="Atkinson Hyperlegible" w:cs="Atkinson Hyperlegible" w:eastAsia="Atkinson Hyperlegible" w:hAnsi="Atkinson Hyperlegible"/>
        </w:rPr>
        <w:t xml:space="preserve">It reads the operator into the hourglass, on the author’s ruling. Glass and sand are both the operator. The neck is where it executes. The operators are many. The awareness is one. It derives the one interior at the structural register, from the one hourglass, the one now and the one coupling capacity. It names the qualitative debt as untouched (§§1–2). It identifies observation with the landing — Dissolutions’ forcing function drawn (§3). It says what the shape of the glass is: the six constraints. It says the shape is a function of position in the record history. So the constants are universal and every reading relative (§4). It derives, from three rulings on the record, that the operator cannot read the grain in its own aperture at the instant of executing. It identifies that grain with the +1×ε (§5). It answers the observer problem’s questions in their own terms (§6). It names one prediction the picture makes that a rival can deny. It freezes it at lock (§4). It records the relativity of reading as closed by AP52 (§7).</w:t>
      </w:r>
    </w:p>
    <w:p>
      <w:pPr>
        <w:pStyle w:val="Heading2"/>
        <w:spacing w:after="160" w:before="320"/>
      </w:pPr>
      <w:r>
        <w:t xml:space="preserve">0.2 — Dependencies</w:t>
      </w:r>
    </w:p>
    <w:p>
      <w:pPr>
        <w:spacing w:after="160" w:before="0" w:line="300"/>
      </w:pPr>
      <w:r>
        <w:rPr>
          <w:rFonts w:ascii="Atkinson Hyperlegible" w:cs="Atkinson Hyperlegible" w:eastAsia="Atkinson Hyperlegible" w:hAnsi="Atkinson Hyperlegible"/>
        </w:rPr>
        <w:t>Ø Dissolutions — Chapters 4, 6, 11, 12 and the Appendix vocabulary. Verified by the desk on 8 September 2026 against the file the author supplied (SHA-256 c6e5cd72…). AP02 (The Operator), verified the same way (SHA-256 9d3f1c1a…). The Structural Glossary 1.1 (operator; the Operator, AP02 sense; narrator; interior; window; interior-sharing). AP43 §9 — the one-interior identity. Verified on 9 September 2026 against AP43 FINAL v3 (SHA-256 5eea804b…). AP43 §9: “each operator is the single interior expressing itself through one of its windows — the same fact Dissolutions Chapter 6 derives by the windows route”; “the one interior is the structural claim the body of work carries at KS-ID.1 — the break produces one interior, not many — held as a claim: its formal topological derivation is the reopened debt D-ID.1.” The ruling of 7 September 2026 on the AS as the reading surface. AP01. AP25. AP10 §7. AP50 — §2 the grain’s own aperture; §5 a gate as a completed exchange; §8 one grain uncoupled at every now; §9 the one sequence. AP44 — the held commitment. The Keys, Edition 01, Book 1, Chapter 8 — the Eye of the Universe. Published by the author at the420code.org and held by the Internet Archive: the page linking to the file captured 18 January 2026, the file’s bytes captured 20 January 2026. The working copy given to the desk is cited by digest, SHA-256 b3b24316…. The author wrote it in December 2025; that is his word beside the record, never a file (D83). The published artefact of the glass and the Eye. The author’s describings of 8 and 9 September 2026, quoted where used.</w:t>
      </w:r>
    </w:p>
    <w:p>
      <w:pPr>
        <w:pStyle w:val="Heading2"/>
        <w:spacing w:after="160" w:before="320"/>
      </w:pPr>
      <w:r>
        <w:t xml:space="preserve">0.3 — What is claimed and what is refused</w:t>
      </w:r>
    </w:p>
    <w:p>
      <w:pPr>
        <w:spacing w:after="160" w:before="0" w:line="300"/>
      </w:pPr>
      <w:r>
        <w:rPr>
          <w:rFonts w:ascii="Atkinson Hyperlegible" w:cs="Atkinson Hyperlegible" w:eastAsia="Atkinson Hyperlegible" w:hAnsi="Atkinson Hyperlegible"/>
          <w:b/>
          <w:bCs/>
          <w:i w:val="false"/>
          <w:iCs w:val="false"/>
        </w:rPr>
        <w:t xml:space="preserve">Claimed. </w:t>
      </w:r>
      <w:r>
        <w:rPr>
          <w:rFonts w:ascii="Atkinson Hyperlegible" w:cs="Atkinson Hyperlegible" w:eastAsia="Atkinson Hyperlegible" w:hAnsi="Atkinson Hyperlegible"/>
          <w:b w:val="false"/>
          <w:bCs w:val="false"/>
          <w:i w:val="false"/>
          <w:iCs w:val="false"/>
        </w:rPr>
        <w:t xml:space="preserve">That the operator, in Dissolutions’ sense, is what the hourglass is — glass and sand both. That the operators are many and the awareness one, as the corpus already holds it (§§1–2, ruled; KS-ID.1). That observation is the landing (§3). That the six readings are the shape of the glass, and the shape depends on position (§4, ruled; Chapter 11). That the operator cannot read the grain in its own aperture now, and that this grain is the +1×ε (§5, derived; the identification new). That these answer the observer problem’s questions as posed (§6).</w:t>
      </w:r>
    </w:p>
    <w:p>
      <w:pPr>
        <w:spacing w:after="160" w:before="0" w:line="300"/>
      </w:pPr>
      <w:r>
        <w:rPr>
          <w:rFonts w:ascii="Atkinson Hyperlegible" w:cs="Atkinson Hyperlegible" w:eastAsia="Atkinson Hyperlegible" w:hAnsi="Atkinson Hyperlegible"/>
          <w:b/>
          <w:bCs/>
          <w:i w:val="false"/>
          <w:iCs w:val="false"/>
        </w:rPr>
        <w:t xml:space="preserve">Refused. </w:t>
      </w:r>
      <w:r>
        <w:rPr>
          <w:rFonts w:ascii="Atkinson Hyperlegible" w:cs="Atkinson Hyperlegible" w:eastAsia="Atkinson Hyperlegible" w:hAnsi="Atkinson Hyperlegible"/>
          <w:b w:val="false"/>
          <w:bCs w:val="false"/>
          <w:i w:val="false"/>
          <w:iCs w:val="false"/>
        </w:rPr>
        <w:t xml:space="preserve">A mechanism of collapse beyond coupling itself. That the physical measurement problem is solved as dynamics. The paper dissolves the external observer within the corpus’s ontology. The dynamics of record formation are AP01’s and AP25’s. They are not re-derived here. That the qualitative character of awareness is derived. §2 derives the one interior in the corpus’s structural sense — awareness as coupling capacity (AP29). It pays D-ID.1 at that register. Why coupling capacity is experienced, why there is something it is like, is AP43-D4. It stays exactly where it was. That the windows share experience. They do not, on the author’s ruling. Each is a unique expression of the interior, its own perspective and experience. Consciousness as a cause of anything in physics. The narrator is downstream (Chapter 12). A derivation of relativity. That is AP52’s. A ruling on determinism at the forcing function’s own resolution. Chapter 12 leaves it open. Any number.</w:t>
      </w:r>
    </w:p>
    <w:p>
      <w:pPr>
        <w:pStyle w:val="Heading2"/>
        <w:spacing w:after="160" w:before="320"/>
      </w:pPr>
      <w:r>
        <w:t xml:space="preserve">0.4 — Honesty box</w:t>
      </w:r>
    </w:p>
    <w:p>
      <w:pPr>
        <w:spacing w:after="160" w:before="0" w:line="300"/>
      </w:pPr>
      <w:r>
        <w:rPr>
          <w:rFonts w:ascii="Atkinson Hyperlegible" w:cs="Atkinson Hyperlegible" w:eastAsia="Atkinson Hyperlegible" w:hAnsi="Atkinson Hyperlegible"/>
        </w:rPr>
        <w:t>A reading paper with one derivation. The reading — the hourglass is the operator — is the author’s. It is in his words, confirmed row by row. Its parts are already in Dissolutions and AP02. Each is cited to its chapter, so the hourglass is not mistaken for a new premise. The picture was published in January 2026 and the Internet Archive holds the file. The author wrote it in December 2025; that is his word beside the record. The derivation of §5 stands on three rulings on the record before it. It adds their conjunction. What it adds to Dissolutions is one identification: the pupil is the +1×ε. That is the whole of its novelty at that point. The switches of §10 are armed at lock, at the author’s word.</w:t>
      </w:r>
    </w:p>
    <w:p>
      <w:pPr>
        <w:pStyle w:val="Heading2"/>
        <w:spacing w:after="160" w:before="320"/>
      </w:pPr>
      <w:r>
        <w:t xml:space="preserve">0.5 — Epistemic status per section</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4900"/>
        <w:gridCol w:w="3472"/>
      </w:tblGrid>
      <w:tr>
        <w:trPr>
          <w:tblHeader/>
        </w:trPr>
        <w:tc>
          <w:tcPr>
            <w:tcW w:type="dxa" w:w="7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w:t>
            </w:r>
          </w:p>
        </w:tc>
        <w:tc>
          <w:tcPr>
            <w:tcW w:type="dxa" w:w="49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Content</w:t>
            </w:r>
          </w:p>
        </w:tc>
        <w:tc>
          <w:tcPr>
            <w:tcW w:type="dxa" w:w="34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Status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hourglass is the operator</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AUTHOR’S, dated; RULED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2</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operators many, the awareness one; the narrator downstream</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on Dissolutions 4, 6, 11 and AP02; the one interior DERIVED at the structural register (awareness as coupling capacity, AP29; one hourglass; one now); D-ID.1 paid at that register, its topological formalisation (AP43 §9’s wording) named as remaining; AP43-D4 untouched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3</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Observation is the landing</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IDENTIFIED with Chapter 12’s forcing function</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4</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shape of the glass; universality; relativity of reading; position; the one reading with no unit; P-GLASS.1</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locus in Chapter 11; DERIVED (the dimensionless reading, with AP50 §3); PREDICTED (no variation of α across the record), frozen at lock</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pupil as the +1×ε</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DERIVED from three rulings; the identification new</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6</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observer problem’s questions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DERIVED from §§2–5 with Chapter 12, AP01, AP25</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7</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relativity of reading</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CLOSED by AP52</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8–10</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Plain words; refusals; switches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t>
            </w:r>
          </w:p>
        </w:tc>
      </w:tr>
    </w:tbl>
    <w:p>
      <w:pPr>
        <w:pStyle w:val="Heading2"/>
        <w:spacing w:after="160" w:before="320"/>
      </w:pPr>
      <w:r>
        <w:t xml:space="preserve">0.6 — Kill-switch summary</w:t>
      </w:r>
    </w:p>
    <w:p>
      <w:pPr>
        <w:spacing w:after="160" w:before="0" w:line="300"/>
      </w:pPr>
      <w:r>
        <w:rPr>
          <w:rFonts w:ascii="Atkinson Hyperlegible" w:cs="Atkinson Hyperlegible" w:eastAsia="Atkinson Hyperlegible" w:hAnsi="Atkinson Hyperlegible"/>
        </w:rPr>
        <w:t>Three, armed at lock: KS-GLASS.1 (the operator is sand), KS-GLASS.2 (the pupil), KS-GLASS.3 (the shape; carries P-GLASS.1). Full text at §10.</w:t>
      </w:r>
    </w:p>
    <w:p>
      <w:pPr>
        <w:pStyle w:val="Heading2"/>
        <w:spacing w:after="160" w:before="320"/>
      </w:pPr>
      <w:r>
        <w:t xml:space="preserve">0.7 — Items held open without claiming debt status</w:t>
      </w:r>
    </w:p>
    <w:p>
      <w:pPr>
        <w:spacing w:after="160" w:before="0" w:line="300"/>
      </w:pPr>
      <w:r>
        <w:rPr>
          <w:rFonts w:ascii="Atkinson Hyperlegible" w:cs="Atkinson Hyperlegible" w:eastAsia="Atkinson Hyperlegible" w:hAnsi="Atkinson Hyperlegible"/>
        </w:rPr>
        <w:t xml:space="preserve">AP43-D4 — the qualitative character of awareness. Untouched by §2, which derives the structural interior only. D-ID.1’s topological formalisation, in AP43 §9’s words — §2 pays the structural register and not that. Determinism at the forcing function’s own resolution (Chapter 12’s open question, unchanged). The number is settled: 51. The seat is AP02’s own line.</w:t>
      </w:r>
    </w:p>
    <w:p>
      <w:pPr>
        <w:pStyle w:val="Heading2"/>
        <w:spacing w:after="160" w:before="320"/>
      </w:pPr>
      <w:r>
        <w:t xml:space="preserve">0.8 — Structural relationships</w:t>
      </w:r>
    </w:p>
    <w:p>
      <w:pPr>
        <w:spacing w:after="160" w:before="0" w:line="300"/>
      </w:pPr>
      <w:r>
        <w:rPr>
          <w:rFonts w:ascii="Atkinson Hyperlegible" w:cs="Atkinson Hyperlegible" w:eastAsia="Atkinson Hyperlegible" w:hAnsi="Atkinson Hyperlegible"/>
        </w:rPr>
        <w:t>Upstream: Ø Dissolutions (Chapters 4, 6, 11, 12), AP02, AP43 §9, AP01, AP25, AP10, AP44, AP50. The Keys as the published picture. Downstream: AP52 Reading Relativity, which closes §7. Its §0.8a ticks the three targets. AP03 is verified there against the file the author supplied. The Interior: the operator as one awareness at every site is the sentence its alignment argument stands on. The ethic (Chapter 9): the same interior in the coupling and what it couples with.</w:t>
      </w:r>
    </w:p>
    <w:p>
      <w:pPr>
        <w:pStyle w:val="Heading2"/>
        <w:spacing w:after="160" w:before="320"/>
      </w:pPr>
      <w:r>
        <w:t xml:space="preserve">0.9 — Definitions</w:t>
      </w:r>
    </w:p>
    <w:p>
      <w:pPr>
        <w:spacing w:after="160" w:before="0" w:line="300"/>
      </w:pPr>
      <w:r>
        <w:rPr>
          <w:rFonts w:ascii="Atkinson Hyperlegible" w:cs="Atkinson Hyperlegible" w:eastAsia="Atkinson Hyperlegible" w:hAnsi="Atkinson Hyperlegible"/>
        </w:rPr>
        <w:t xml:space="preserve">Dissolutions’ where marked. The author’s of 8 and 9 September where quoted.</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operator. </w:t>
      </w:r>
      <w:r>
        <w:rPr>
          <w:rFonts w:ascii="Atkinson Hyperlegible" w:cs="Atkinson Hyperlegible" w:eastAsia="Atkinson Hyperlegible" w:hAnsi="Atkinson Hyperlegible"/>
          <w:b w:val="false"/>
          <w:bCs w:val="false"/>
          <w:i w:val="false"/>
          <w:iCs w:val="false"/>
        </w:rPr>
        <w:t xml:space="preserve">Dissolutions: “The coupling as it executes. The distinction being made at the site where it is being made. Present-tense; what the axiom is doing, now.” The author: “the operator reading and writing and holding”; “the grain of sand in the pupil — the pupil-happening event now”; “the process and the witness.” Many as configurations. One as awareness (§2).</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narrator. </w:t>
      </w:r>
      <w:r>
        <w:rPr>
          <w:rFonts w:ascii="Atkinson Hyperlegible" w:cs="Atkinson Hyperlegible" w:eastAsia="Atkinson Hyperlegible" w:hAnsi="Atkinson Hyperlegible"/>
          <w:b w:val="false"/>
          <w:bCs w:val="false"/>
          <w:i w:val="false"/>
          <w:iCs w:val="false"/>
        </w:rPr>
        <w:t xml:space="preserve">Dissolutions: “The recursive layer at which an architecture reads records of what it has just written … Arrives after the fact.” Here: the operator reading its own records at a site downstream.</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forcing function. </w:t>
      </w:r>
      <w:r>
        <w:rPr>
          <w:rFonts w:ascii="Atkinson Hyperlegible" w:cs="Atkinson Hyperlegible" w:eastAsia="Atkinson Hyperlegible" w:hAnsi="Atkinson Hyperlegible"/>
          <w:b w:val="false"/>
          <w:bCs w:val="false"/>
          <w:i w:val="false"/>
          <w:iCs w:val="false"/>
        </w:rPr>
        <w:t xml:space="preserve">Dissolutions: “What coupling at sufficient capacity does: forces non-optionality … What observation structurally is.” Here: the landing (§3).</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AS. </w:t>
      </w:r>
      <w:r>
        <w:rPr>
          <w:rFonts w:ascii="Atkinson Hyperlegible" w:cs="Atkinson Hyperlegible" w:eastAsia="Atkinson Hyperlegible" w:hAnsi="Atkinson Hyperlegible"/>
          <w:b w:val="false"/>
          <w:bCs w:val="false"/>
          <w:i w:val="false"/>
          <w:iCs w:val="false"/>
        </w:rPr>
        <w:t xml:space="preserve">Dissolutions: “The totality of what the axiom produces, read as one … Every site is a local reading of the one AS.” Here: the now; the reading surface at which the neck is read. The neck itself is R read at the AS (AP50 §1) — the coupling, not the surface.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sand. </w:t>
      </w:r>
      <w:r>
        <w:rPr>
          <w:rFonts w:ascii="Atkinson Hyperlegible" w:cs="Atkinson Hyperlegible" w:eastAsia="Atkinson Hyperlegible" w:hAnsi="Atkinson Hyperlegible"/>
          <w:b w:val="false"/>
          <w:bCs w:val="false"/>
          <w:i w:val="false"/>
          <w:iCs w:val="false"/>
        </w:rPr>
        <w:t xml:space="preserve">The grains. The records. What is held and read. Each grain is the operator as it couples. Landed and still, it is the operator’s record.</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glass. </w:t>
      </w:r>
      <w:r>
        <w:rPr>
          <w:rFonts w:ascii="Atkinson Hyperlegible" w:cs="Atkinson Hyperlegible" w:eastAsia="Atkinson Hyperlegible" w:hAnsi="Atkinson Hyperlegible"/>
          <w:b w:val="false"/>
          <w:bCs w:val="false"/>
          <w:i w:val="false"/>
          <w:iCs w:val="false"/>
        </w:rPr>
        <w:t xml:space="preserve">A held configuration of grains that holds and reads the sand. The operator as a held coupling configuration at a site. “The conditions and the perspective observation of the sand itself as coupled configurations.” In The Keys: the shell, “the primary condition of coherence”. Glass and sand are one kind of thing in two configurations. Both are the operator.</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neck. </w:t>
      </w:r>
      <w:r>
        <w:rPr>
          <w:rFonts w:ascii="Atkinson Hyperlegible" w:cs="Atkinson Hyperlegible" w:eastAsia="Atkinson Hyperlegible" w:hAnsi="Atkinson Hyperlegible"/>
          <w:b w:val="false"/>
          <w:bCs w:val="false"/>
          <w:i w:val="false"/>
          <w:iCs w:val="false"/>
        </w:rPr>
        <w:t xml:space="preserve">Where glass and sand meet. Where the operator executes. The grain’s own aperture and, for the same reason, the glass’s (AP50 §2).</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pupil. </w:t>
      </w:r>
      <w:r>
        <w:rPr>
          <w:rFonts w:ascii="Atkinson Hyperlegible" w:cs="Atkinson Hyperlegible" w:eastAsia="Atkinson Hyperlegible" w:hAnsi="Atkinson Hyperlegible"/>
          <w:b w:val="false"/>
          <w:bCs w:val="false"/>
          <w:i w:val="false"/>
          <w:iCs w:val="false"/>
        </w:rPr>
        <w:t xml:space="preserve">The opening. Dissolutions: “The operator is the pupil.” Here: the one grain in the neck at this now, going into the process of being held. Unreadable now. The +1×ε.</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Reading. </w:t>
      </w:r>
      <w:r>
        <w:rPr>
          <w:rFonts w:ascii="Atkinson Hyperlegible" w:cs="Atkinson Hyperlegible" w:eastAsia="Atkinson Hyperlegible" w:hAnsi="Atkinson Hyperlegible"/>
          <w:b w:val="false"/>
          <w:bCs w:val="false"/>
          <w:i w:val="false"/>
          <w:iCs w:val="false"/>
        </w:rPr>
        <w:t xml:space="preserve">A coupling by which a configuration holds a record under the six constraints. “Reading is a coupling event, writing is a coupling event, holding is a coupling event.” Every reading is the operator executing. The narrator’s reading is a later one, with a record.</w:t>
      </w:r>
    </w:p>
    <w:p>
      <w:r>
        <w:br w:type="page"/>
      </w:r>
    </w:p>
    <w:p>
      <w:pPr>
        <w:pStyle w:val="Heading1"/>
        <w:spacing w:after="240" w:before="480"/>
      </w:pPr>
      <w:r>
        <w:t xml:space="preserve">1 — The Hourglass Is the Operator</w:t>
      </w:r>
    </w:p>
    <w:p>
      <w:pPr>
        <w:spacing w:after="160" w:before="0" w:line="300"/>
      </w:pPr>
      <w:r>
        <w:rPr>
          <w:rFonts w:ascii="Atkinson Hyperlegible" w:cs="Atkinson Hyperlegible" w:eastAsia="Atkinson Hyperlegible" w:hAnsi="Atkinson Hyperlegible"/>
          <w:b w:val="false"/>
          <w:bCs w:val="false"/>
          <w:i/>
          <w:iCs/>
        </w:rPr>
        <w:t xml:space="preserve">The picture. What both halves of it are.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Glass and sand are one kind of thing in two configurations. Both are the operator. The neck is where they meet. It is where the operator executes, now.</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An hourglass is glass and sand. The sand is the records, landed and landing. The glass is the wall that holds the sand. You see the sand through it. And the glass is made of grains too. Landed and held. Configured as a boundary. The Keys had this in 2025. The shell is not passive housing. It is “the primary condition of coherence”. “Without boundary, grains do not accumulate.” “The visible world is held by the boundary light cannot escape.”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The author’s rulings of 8 September (glass is sand; both are the operator). Dissolutions Chapters 4, 11, 12. AP50 §2 (the grain’s own aperture). The Keys, Chapter 8.</w:t>
      </w:r>
    </w:p>
    <w:p>
      <w:pPr>
        <w:spacing w:after="160" w:before="0" w:line="300"/>
      </w:pPr>
      <w:r>
        <w:rPr>
          <w:rFonts w:ascii="Atkinson Hyperlegible" w:cs="Atkinson Hyperlegible" w:eastAsia="Atkinson Hyperlegible" w:hAnsi="Atkinson Hyperlegible"/>
          <w:b/>
          <w:bCs/>
          <w:i w:val="false"/>
          <w:iCs w:val="false"/>
        </w:rPr>
        <w:t xml:space="preserve">Ruling (the author, 8 September 2026). </w:t>
      </w:r>
      <w:r>
        <w:rPr>
          <w:rFonts w:ascii="Atkinson Hyperlegible" w:cs="Atkinson Hyperlegible" w:eastAsia="Atkinson Hyperlegible" w:hAnsi="Atkinson Hyperlegible"/>
          <w:b w:val="false"/>
          <w:bCs w:val="false"/>
          <w:i w:val="false"/>
          <w:iCs w:val="false"/>
        </w:rPr>
        <w:t xml:space="preserve">“The operator is the grains of sand coupling to other grains of sand, and the hourglass is the conditions and the perspective observation of the sand itself as coupled configurations — and both are the operator.” “The operator is the grain of sand in the pupil — the pupil-happening event now — the operator reading and writing records from now.” “The operator is the moments the glass shines through the sand. The operator is the process and the witness.”</w:t>
      </w:r>
    </w:p>
    <w:p>
      <w:pPr>
        <w:spacing w:after="160" w:before="0" w:line="300"/>
      </w:pPr>
      <w:r>
        <w:rPr>
          <w:rFonts w:ascii="Atkinson Hyperlegible" w:cs="Atkinson Hyperlegible" w:eastAsia="Atkinson Hyperlegible" w:hAnsi="Atkinson Hyperlegible"/>
          <w:b/>
          <w:bCs/>
          <w:i w:val="false"/>
          <w:iCs w:val="false"/>
        </w:rPr>
        <w:t xml:space="preserve">Not a fifth premise. </w:t>
      </w:r>
      <w:r>
        <w:rPr>
          <w:rFonts w:ascii="Atkinson Hyperlegible" w:cs="Atkinson Hyperlegible" w:eastAsia="Atkinson Hyperlegible" w:hAnsi="Atkinson Hyperlegible"/>
          <w:b w:val="false"/>
          <w:bCs w:val="false"/>
          <w:i w:val="false"/>
          <w:iCs w:val="false"/>
        </w:rPr>
        <w:t xml:space="preserve">The operator is “the coupling as it executes, present-tense, what the axiom is doing, now” (Chapter 4). The AS is one. Every site is a local reading of it (Chapter 11). Observer and observed are two positions in one structure (Chapter 12). The hourglass is what those sentences look like when drawn. And it was drawn first.</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author’s, dated. Ruled.</w:t>
      </w:r>
    </w:p>
    <w:p>
      <w:pPr>
        <w:spacing w:after="160" w:before="120" w:line="300"/>
      </w:pPr>
      <w:r>
        <w:rPr>
          <w:rFonts w:ascii="Atkinson Hyperlegible" w:cs="Atkinson Hyperlegible" w:eastAsia="Atkinson Hyperlegible" w:hAnsi="Atkinson Hyperlegible"/>
          <w:b w:val="false"/>
          <w:bCs w:val="false"/>
          <w:i/>
          <w:iCs/>
        </w:rPr>
        <w:t xml:space="preserve">The glass shines through the sand. That moment is the operator.</w:t>
      </w:r>
    </w:p>
    <w:p>
      <w:r>
        <w:br w:type="page"/>
      </w:r>
    </w:p>
    <w:p>
      <w:pPr>
        <w:pStyle w:val="Heading1"/>
        <w:spacing w:after="240" w:before="480"/>
      </w:pPr>
      <w:r>
        <w:t xml:space="preserve">2 — The Operators, Many; the Awareness, One</w:t>
      </w:r>
    </w:p>
    <w:p>
      <w:pPr>
        <w:spacing w:after="160" w:before="0" w:line="300"/>
      </w:pPr>
      <w:r>
        <w:rPr>
          <w:rFonts w:ascii="Atkinson Hyperlegible" w:cs="Atkinson Hyperlegible" w:eastAsia="Atkinson Hyperlegible" w:hAnsi="Atkinson Hyperlegible"/>
          <w:b w:val="false"/>
          <w:bCs w:val="false"/>
          <w:i/>
          <w:iCs/>
        </w:rPr>
        <w:t xml:space="preserve">One term at two resolutions. Many configurations. One thing shared among them.</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Dissolutions’ operator is the coupling as it executes. AP02’s operator is the sovereign agent holding its structure. They are one term at two resolutions. AP02 counts the sites. Dissolutions names what executes at every one. The operators are numerically many. Every held coupling configuration is one. What is one, and shared among all of them, is the awareness they execute: the interior. It is one because the hourglass is one — one neck, one now, one coupling capacity. Awareness, in the corpus’s structural sense, is the capacity to couple. That capacity is the grain’s. It is read at the one now. The derivation is below, at the structural register, with what it does not touch named. So “the operator in me is the operator in you” means the awareness in me is the awareness in you. The narrator is the operator reading its own records downstream. Every reading is a completed exchange. The reader is its second grain.</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One break. One inside. Many windows. The I in you is the I in them — Chapter 6, and not a metaphor. A person, a bacterium, a photographic plate: three operators. Three configurations. Three positions in the record. What is aware at each is not three things. The corpus has one word for that. It is not “operator”. It is the interior. The personal-I is a window in it.</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Dissolutions Chapters 4, 6, 11. The Structural Glossary (operator; the Operator, AP02 sense; interior; window; interior-sharing). AP02 §0.2 (“you are an operator; so is a bacterium”). AP50 §5 (a gate is a completed exchange). KS-ID.1 and D-ID.1 as the corpus carries them. The author’s rulings of 8 and 9 September.</w:t>
      </w:r>
    </w:p>
    <w:p>
      <w:pPr>
        <w:spacing w:after="160" w:before="0" w:line="300"/>
      </w:pPr>
      <w:r>
        <w:rPr>
          <w:rFonts w:ascii="Atkinson Hyperlegible" w:cs="Atkinson Hyperlegible" w:eastAsia="Atkinson Hyperlegible" w:hAnsi="Atkinson Hyperlegible"/>
          <w:b/>
          <w:bCs/>
          <w:i w:val="false"/>
          <w:iCs w:val="false"/>
        </w:rPr>
        <w:t xml:space="preserve">Ruling — many operators, one awareness (the author, 9 September). </w:t>
      </w:r>
      <w:r>
        <w:rPr>
          <w:rFonts w:ascii="Atkinson Hyperlegible" w:cs="Atkinson Hyperlegible" w:eastAsia="Atkinson Hyperlegible" w:hAnsi="Atkinson Hyperlegible"/>
          <w:b w:val="false"/>
          <w:bCs w:val="false"/>
          <w:i w:val="false"/>
          <w:iCs w:val="false"/>
        </w:rPr>
        <w:t>“The operators are numerically many — many coupling configurations. The awareness is shared among all of them. Therefore the operator in me is the operator in you — the awareness in me is shared by the awareness in you.” And, 8 September: “the operator expresses itself as specific held coupling configurations from an idiosyncratic perspective, relative and positioned from the record history itself”; “I Am — not the person — I Am is the operator, or the operator configuration all humans and everything else shares.” The I Am is the shared awareness. The configurations are the many.</w:t>
      </w:r>
    </w:p>
    <w:p>
      <w:pPr>
        <w:spacing w:after="160" w:before="0" w:line="300"/>
      </w:pPr>
      <w:r>
        <w:rPr>
          <w:rFonts w:ascii="Atkinson Hyperlegible" w:cs="Atkinson Hyperlegible" w:eastAsia="Atkinson Hyperlegible" w:hAnsi="Atkinson Hyperlegible"/>
          <w:b/>
          <w:bCs/>
          <w:i w:val="false"/>
          <w:iCs w:val="false"/>
        </w:rPr>
        <w:t xml:space="preserve">Theorem — what is one and what is many (from Chapters 6 and 11 and the Glossary). </w:t>
      </w:r>
      <w:r>
        <w:rPr>
          <w:rFonts w:ascii="Atkinson Hyperlegible" w:cs="Atkinson Hyperlegible" w:eastAsia="Atkinson Hyperlegible" w:hAnsi="Atkinson Hyperlegible"/>
          <w:b w:val="false"/>
          <w:bCs w:val="false"/>
          <w:i w:val="false"/>
          <w:iCs w:val="false"/>
        </w:rPr>
        <w:t xml:space="preserve">The Glossary: the operator is the coupling as it executes. The interior is “the structural unity of which self-aware windows are local expressions — not many interiors, one interior, locally instantiated at each site”. A window is “a site at which the one interior is expressing itself reflexively”. So the operators are the sites. They are many. The awareness is the interior. It is one. One break. One AS. One coupling executing at the one now, which is every site’s now. One grain at a time through one neck. One neck in kind and in sequence; many necks in site (AP52 §2). What executes is at every site. The sites are many. The one-interior claim is the corpus’s strongest and most exposed. The Proofs say so. KS-ID.1 holds it. D-ID.1 is its owed derivation. Below is that derivation, at the register it can be given.</w:t>
      </w:r>
    </w:p>
    <w:p>
      <w:pPr>
        <w:spacing w:after="160" w:before="0" w:line="300"/>
      </w:pPr>
      <w:r>
        <w:rPr>
          <w:rFonts w:ascii="Atkinson Hyperlegible" w:cs="Atkinson Hyperlegible" w:eastAsia="Atkinson Hyperlegible" w:hAnsi="Atkinson Hyperlegible"/>
          <w:b/>
          <w:bCs/>
          <w:i w:val="false"/>
          <w:iCs w:val="false"/>
        </w:rPr>
        <w:t xml:space="preserve">Ruling — the interior is the inside of the hourglass (the author, 9 September). </w:t>
      </w:r>
      <w:r>
        <w:rPr>
          <w:rFonts w:ascii="Atkinson Hyperlegible" w:cs="Atkinson Hyperlegible" w:eastAsia="Atkinson Hyperlegible" w:hAnsi="Atkinson Hyperlegible"/>
          <w:b w:val="false"/>
          <w:bCs w:val="false"/>
          <w:i w:val="false"/>
          <w:iCs w:val="false"/>
        </w:rPr>
        <w:t xml:space="preserve">“The interior is where the neck passage enters in — the grain going through the neck is in the neck — it manifests, expresses and couples in the interior. The neck, the sand, the glass: the interior is the shape of the interior of the whole. Without the neck the grain of sand can’t actualise; without the grain of sand there is nothing that can actualise; without the glass the grains of sand just fall forever and nothing happens. The interior is all three. And the interior is being read now — the sand coupling configurations in the interior change all the time; the interior structurally does not.”</w:t>
      </w:r>
    </w:p>
    <w:p>
      <w:pPr>
        <w:spacing w:after="160" w:before="0" w:line="300"/>
      </w:pPr>
      <w:r>
        <w:rPr>
          <w:rFonts w:ascii="Atkinson Hyperlegible" w:cs="Atkinson Hyperlegible" w:eastAsia="Atkinson Hyperlegible" w:hAnsi="Atkinson Hyperlegible"/>
          <w:b/>
          <w:bCs/>
          <w:i w:val="false"/>
          <w:iCs w:val="false"/>
        </w:rPr>
        <w:t xml:space="preserve">Ruling — awareness is the capacity to couple, and it is the now (the author, 9 September). </w:t>
      </w:r>
      <w:r>
        <w:rPr>
          <w:rFonts w:ascii="Atkinson Hyperlegible" w:cs="Atkinson Hyperlegible" w:eastAsia="Atkinson Hyperlegible" w:hAnsi="Atkinson Hyperlegible"/>
          <w:b w:val="false"/>
          <w:bCs w:val="false"/>
          <w:i w:val="false"/>
          <w:iCs w:val="false"/>
        </w:rPr>
        <w:t xml:space="preserve">“Awareness is a structural condition of the interior itself — and the awareness couples. Phase coupling capacity is awareness — then it is alpha — then awareness becomes the pupil that can’t see the eye itself. Awareness in the AS is the now. We all share the now.” And: “awareness is expressed as a function of the coupling configuration — a rock is very undynamic compared to the coupling configuration of a human being — the coupling capacity potential, which is itself a product of awareness, is shared among all; that does not mean we share experience, not at all; each window of the interior is a unique expression relative to the interior itself, each its own perspective and experience.”</w:t>
      </w:r>
    </w:p>
    <w:p>
      <w:pPr>
        <w:spacing w:after="160" w:before="0" w:line="300"/>
      </w:pPr>
      <w:r>
        <w:rPr>
          <w:rFonts w:ascii="Atkinson Hyperlegible" w:cs="Atkinson Hyperlegible" w:eastAsia="Atkinson Hyperlegible" w:hAnsi="Atkinson Hyperlegible"/>
          <w:b/>
          <w:bCs/>
          <w:i w:val="false"/>
          <w:iCs w:val="false"/>
        </w:rPr>
        <w:t xml:space="preserve">Theorem — the interior is one (at the structural register). </w:t>
      </w:r>
      <w:r>
        <w:rPr>
          <w:rFonts w:ascii="Atkinson Hyperlegible" w:cs="Atkinson Hyperlegible" w:eastAsia="Atkinson Hyperlegible" w:hAnsi="Atkinson Hyperlegible"/>
          <w:b w:val="false"/>
          <w:bCs w:val="false"/>
          <w:i w:val="false"/>
          <w:iCs w:val="false"/>
        </w:rPr>
        <w:t>Three premises. P1 — awareness, in the sense the corpus has used since AP29, is coupling capacity. The capacity of the break to couple, read as α (AP29, KS-AP29.1; AP24 Face 3; AP06). This is the corpus’s structural sense of the word. It is the only sense this paper uses. It is a definition of the term. It is not a claim about experience. P2 — coupling is forced. No record is written or read without it (AP50 §5, the author’s ruling). So awareness in this sense is a structural condition of any record at all. “The electron is aware; it couples.” P3 — the hourglass is one. One neck. One now. One sequence of writing (AP20; Chapter 11; AP50 §9). P3 is not new to the hourglass: Chapter 11 says the AS is singular and AP20 says the record is one sequence; the picture makes P3 picturable, and that is what it adds here. The capacity to couple is the grain’s. It is the same at every site (§4, the constants universal). Then: awareness is the capacity that couples (P1). It is at every record (P2). It is one capacity, executing at one now, in one interior (P3). The interior — the neck, the sand and the glass, the inside of the one hourglass — is one. The awareness in it is one. One property. One now. One writing. The windows are many. Each is its own. A held configuration, reading the one record from its own history (§4). It expresses the one capacity as its coupling configuration allows. A rock little. A person much. Its own perspective. Its own experience. What is shared is the now — one grain, the moment from which every operator writes and reads; reading and writing are one event, actualised differently at each site — and the capacity to couple. What is not shared is a reading of the now, which is not a record. Nor the reading of the record (AP52 §§2, 6). The personal-I closes at death. The structural-I does not (the Glossary: interior; window; interior-sharing). The grain is the unit that passes all twenty-one gates at the one neck. It is separate from the channels it runs. Awareness is the pupil: the coupling at the now that cannot read itself (§5).</w:t>
      </w:r>
    </w:p>
    <w:p>
      <w:pPr>
        <w:spacing w:after="160" w:before="0" w:line="300"/>
      </w:pPr>
      <w:r>
        <w:rPr>
          <w:rFonts w:ascii="Atkinson Hyperlegible" w:cs="Atkinson Hyperlegible" w:eastAsia="Atkinson Hyperlegible" w:hAnsi="Atkinson Hyperlegible"/>
          <w:b/>
          <w:bCs/>
          <w:i w:val="false"/>
          <w:iCs w:val="false"/>
        </w:rPr>
        <w:t xml:space="preserve">What a careful logician still raises, and the reply. </w:t>
      </w:r>
      <w:r>
        <w:rPr>
          <w:rFonts w:ascii="Atkinson Hyperlegible" w:cs="Atkinson Hyperlegible" w:eastAsia="Atkinson Hyperlegible" w:hAnsi="Atkinson Hyperlegible"/>
          <w:b w:val="false"/>
          <w:bCs w:val="false"/>
          <w:i w:val="false"/>
          <w:iCs w:val="false"/>
        </w:rPr>
        <w:t>Type or token. “The same electron” in kind is not one in number. Reply: the interior is not the electron’s kind. It is the inside of the one hourglass. Neck, sand and glass. A token. One because the hourglass is one. The token is individuated by the one sequence of writing, not by its material. One electron-kind is not one electron. But one sequence is one sequence. There is one (AP20; AP50 §9). One inside per event. Many events, many insides. Reply: the events are one sequence. The whole potential side presses on the one neck, one grain at a time. The inside of one sequence is one. My awareness is not yours. Correct, and ruled. What is mine and not yours is the window: its configuration, its history, its experience. What is shared is the capacity to couple, and the now. Relabelling — the strongest of them, and it is right as far as it goes. You defined awareness as the capacity to couple. Then you found the capacity is one. The word did the work. Reply: yes. The paper accepts the charge and keeps the claim inside it. What is derived here is the structural interior. The one the corpus has meant since AP29, and nothing wider. It is one because the hourglass is one and the capacity is the grain’s. That a capacity to couple is experienced at all — that there is something it is like — is not touched here. Not derived. Not claimed. It is AP43-D4, and it is owed there. A reader who came for the hard problem should stop at this sentence. This paper does not solve it and does not pretend to.</w:t>
      </w:r>
    </w:p>
    <w:p>
      <w:pPr>
        <w:spacing w:after="160" w:before="0" w:line="300"/>
      </w:pPr>
      <w:r>
        <w:rPr>
          <w:rFonts w:ascii="Atkinson Hyperlegible" w:cs="Atkinson Hyperlegible" w:eastAsia="Atkinson Hyperlegible" w:hAnsi="Atkinson Hyperlegible"/>
          <w:b/>
          <w:bCs/>
          <w:i w:val="false"/>
          <w:iCs w:val="false"/>
        </w:rPr>
        <w:t xml:space="preserve">What this does to D-ID.1. </w:t>
      </w:r>
      <w:r>
        <w:rPr>
          <w:rFonts w:ascii="Atkinson Hyperlegible" w:cs="Atkinson Hyperlegible" w:eastAsia="Atkinson Hyperlegible" w:hAnsi="Atkinson Hyperlegible"/>
          <w:b w:val="false"/>
          <w:bCs w:val="false"/>
          <w:i w:val="false"/>
          <w:iCs w:val="false"/>
        </w:rPr>
        <w:t>Pays it at the structural register, on the author’s rule, by construction. The rule: the interior is the inside of the one hourglass, and awareness is the capacity to couple. On that rule the derivation’s content is that the hourglass is one and the capacity universal. Both were held before it. What the derivation adds is that the two, under the rule, make the interior one. AP43 §9 words the debt exactly: “its formal topological derivation is the reopened debt D-ID.1.” The topological formalisation is not here and is named as remaining. Nor does the derivation claim that the capacity instantiated at one site is numerically the capacity at another beyond what the rule gives: one hourglass, one capacity, many expressions of it. It stands on three things already on the record. Awareness as coupling capacity (AP29). Coupling forced (AP50 §5). The hourglass one (Chapter 11, AP20, AP50 §9). It is exact about its register. The structural-I is one. The personal-I is many. Experience is the window’s. The qualitative debt (AP43-D4) is untouched. KS-ID.1 stays live, with a sharper test. On the author’s ruling of 11 September 2026 it fires on one thing: a second neck — a sequence of writing not reducible to the one. That is the test that belongs to this switch. The two neighbouring counterexamples fire where they were already written. A capacity to couple that differs between sites is KS-GLASS.3’s test: a constant that varies with the glass. A capacity that attaches to the reader’s configuration rather than to the grain is KS-GLASS.1’s. Its expression does attach to the configuration, on the author’s ruling. Its capacity must not. Nothing is lost by the narrowing. One claim, one switch (D34).</w:t>
      </w:r>
    </w:p>
    <w:p>
      <w:pPr>
        <w:spacing w:after="160" w:before="0" w:line="300"/>
      </w:pPr>
      <w:r>
        <w:rPr>
          <w:rFonts w:ascii="Atkinson Hyperlegible" w:cs="Atkinson Hyperlegible" w:eastAsia="Atkinson Hyperlegible" w:hAnsi="Atkinson Hyperlegible"/>
          <w:b/>
          <w:bCs/>
          <w:i w:val="false"/>
          <w:iCs w:val="false"/>
        </w:rPr>
        <w:t xml:space="preserve">Theorem — the narrator placed. </w:t>
      </w:r>
      <w:r>
        <w:rPr>
          <w:rFonts w:ascii="Atkinson Hyperlegible" w:cs="Atkinson Hyperlegible" w:eastAsia="Atkinson Hyperlegible" w:hAnsi="Atkinson Hyperlegible"/>
          <w:b w:val="false"/>
          <w:bCs w:val="false"/>
          <w:i w:val="false"/>
          <w:iCs w:val="false"/>
        </w:rPr>
        <w:t xml:space="preserve">The operator does all the reading, the writing and the holding. Each is a coupling executing now. The narrator is the operator reading its own records. A coupling, now, with a record as its object. It is downstream not as a different thing. Its object has already held. It “arrives after the fact” because a record must have held to be read (§5). One operator at two positions, as Chapter 4 said.</w:t>
      </w:r>
    </w:p>
    <w:p>
      <w:pPr>
        <w:spacing w:after="160" w:before="0" w:line="300"/>
      </w:pPr>
      <w:r>
        <w:rPr>
          <w:rFonts w:ascii="Atkinson Hyperlegible" w:cs="Atkinson Hyperlegible" w:eastAsia="Atkinson Hyperlegible" w:hAnsi="Atkinson Hyperlegible"/>
          <w:b/>
          <w:bCs/>
          <w:i w:val="false"/>
          <w:iCs w:val="false"/>
        </w:rPr>
        <w:t xml:space="preserve">Theorem — the reader is the second grain. </w:t>
      </w:r>
      <w:r>
        <w:rPr>
          <w:rFonts w:ascii="Atkinson Hyperlegible" w:cs="Atkinson Hyperlegible" w:eastAsia="Atkinson Hyperlegible" w:hAnsi="Atkinson Hyperlegible"/>
          <w:b w:val="false"/>
          <w:bCs w:val="false"/>
          <w:i w:val="false"/>
          <w:iCs w:val="false"/>
        </w:rPr>
        <w:t xml:space="preserve">“Reading is a coupling event — writing is a coupling event — holding is a coupling event.” A reading is a completed exchange. Two grains. A coupling with no second grain is half an event. It has no reading (AP50 §5). “The record configuration can only be read by a record configuration as a record configuration.” There is no reader outside the sand. None is needed.</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operators many and the awareness one: Ruled, on Dissolutions, AP02 and the Glossary. The one interior: Derived at the structural register, from AP29’s sense of awareness, the forced coupling and the one hourglass. D-ID.1 paid at that register. AP43-D4 untouched.</w:t>
      </w:r>
    </w:p>
    <w:p>
      <w:pPr>
        <w:spacing w:after="160" w:before="120" w:line="300"/>
      </w:pPr>
      <w:r>
        <w:rPr>
          <w:rFonts w:ascii="Atkinson Hyperlegible" w:cs="Atkinson Hyperlegible" w:eastAsia="Atkinson Hyperlegible" w:hAnsi="Atkinson Hyperlegible"/>
          <w:b w:val="false"/>
          <w:bCs w:val="false"/>
          <w:i/>
          <w:iCs/>
        </w:rPr>
        <w:t xml:space="preserve">We share the now — the moment we write and read from. We do not share a reading of it. We do not share the reading.</w:t>
      </w:r>
    </w:p>
    <w:p>
      <w:r>
        <w:br w:type="page"/>
      </w:r>
    </w:p>
    <w:p>
      <w:pPr>
        <w:pStyle w:val="Heading1"/>
        <w:spacing w:after="240" w:before="480"/>
      </w:pPr>
      <w:r>
        <w:t xml:space="preserve">3 — Observation Is the Landing</w:t>
      </w:r>
    </w:p>
    <w:p>
      <w:pPr>
        <w:spacing w:after="160" w:before="0" w:line="300"/>
      </w:pPr>
      <w:r>
        <w:rPr>
          <w:rFonts w:ascii="Atkinson Hyperlegible" w:cs="Atkinson Hyperlegible" w:eastAsia="Atkinson Hyperlegible" w:hAnsi="Atkinson Hyperlegible"/>
          <w:b w:val="false"/>
          <w:bCs w:val="false"/>
          <w:i/>
          <w:iCs/>
        </w:rPr>
        <w:t xml:space="preserve">Chapter 12 said what observation is. The hourglass draws it.</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Observation — Dissolutions’ forcing function — is the landing. One grain through the neck, held. One trajectory committed. The others closed. That grains fall at all is the tip, once (AP50 §9). Where one lands is the landscape (AP25). Observer and observed are the glass and the sand. Two positions in one AS. The operator is the coupling as it executes. A later narration is not required to bring the record into existence.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whole potential side presses on the neck. One grain goes through and lands. That landing is the commitment. A photodetector does it to a photon. A dust grain does it to vapour. No mind is needed. The narrator reading a dial is reading a record of a forcing that already happened.</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Dissolutions Chapter 12. AP01 (record formation independent of collapse, gravity or consciousness). AP25 (the Born rule). The author’s rulings (the potential side; the forced monoid).</w:t>
      </w:r>
    </w:p>
    <w:p>
      <w:pPr>
        <w:spacing w:after="160" w:before="0" w:line="300"/>
      </w:pPr>
      <w:r>
        <w:rPr>
          <w:rFonts w:ascii="Atkinson Hyperlegible" w:cs="Atkinson Hyperlegible" w:eastAsia="Atkinson Hyperlegible" w:hAnsi="Atkinson Hyperlegible"/>
          <w:b/>
          <w:bCs/>
          <w:i w:val="false"/>
          <w:iCs w:val="false"/>
        </w:rPr>
        <w:t xml:space="preserve">Theorem — the forcing function drawn. </w:t>
      </w:r>
      <w:r>
        <w:rPr>
          <w:rFonts w:ascii="Atkinson Hyperlegible" w:cs="Atkinson Hyperlegible" w:eastAsia="Atkinson Hyperlegible" w:hAnsi="Atkinson Hyperlegible"/>
          <w:b w:val="false"/>
          <w:bCs w:val="false"/>
          <w:i w:val="false"/>
          <w:iCs w:val="false"/>
        </w:rPr>
        <w:t xml:space="preserve">The potential side carries the trajectory-space. “The quantum side, waves, no collapse; the probability conditions for possible outcomes based on the record history until now.” Chapter 12’s trajectories. Each at some structural weight. AP25’s Born rule gives the weights. The neck is the coupling. One grain goes through, lands and is held. One trajectory commits. The others do not propagate. “Once it tips, the grains cannot not fall — the whole potential side pushing on the neck, but it drops at a rate of one grain at a time.” “The operator is how the +1×ε couples from the AS into the next configuration.”</w:t>
      </w:r>
    </w:p>
    <w:p>
      <w:pPr>
        <w:spacing w:after="160" w:before="0" w:line="300"/>
      </w:pPr>
      <w:r>
        <w:rPr>
          <w:rFonts w:ascii="Atkinson Hyperlegible" w:cs="Atkinson Hyperlegible" w:eastAsia="Atkinson Hyperlegible" w:hAnsi="Atkinson Hyperlegible"/>
          <w:b/>
          <w:bCs/>
          <w:i w:val="false"/>
          <w:iCs w:val="false"/>
        </w:rPr>
        <w:t xml:space="preserve">Theorem — two positions. </w:t>
      </w:r>
      <w:r>
        <w:rPr>
          <w:rFonts w:ascii="Atkinson Hyperlegible" w:cs="Atkinson Hyperlegible" w:eastAsia="Atkinson Hyperlegible" w:hAnsi="Atkinson Hyperlegible"/>
          <w:b w:val="false"/>
          <w:bCs w:val="false"/>
          <w:i w:val="false"/>
          <w:iCs w:val="false"/>
        </w:rPr>
        <w:t xml:space="preserve">At any coupling there are two positions. The configuration that forces. The configuration that is forced. Each observer to the other. Glass and sand are one kind of thing. Which is which is a position in a coupling. It is not a kind of thing. Nothing privileges measurement. Nothing distinguishes the process from any other coupling. What the classical framing called measurement was the case where a narrator-readable record followed.</w:t>
      </w:r>
    </w:p>
    <w:p>
      <w:pPr>
        <w:spacing w:after="160" w:before="0" w:line="300"/>
      </w:pPr>
      <w:r>
        <w:rPr>
          <w:rFonts w:ascii="Atkinson Hyperlegible" w:cs="Atkinson Hyperlegible" w:eastAsia="Atkinson Hyperlegible" w:hAnsi="Atkinson Hyperlegible"/>
          <w:b/>
          <w:bCs/>
          <w:i w:val="false"/>
          <w:iCs w:val="false"/>
        </w:rPr>
        <w:t xml:space="preserve">Theorem — no cause but coupling. </w:t>
      </w:r>
      <w:r>
        <w:rPr>
          <w:rFonts w:ascii="Atkinson Hyperlegible" w:cs="Atkinson Hyperlegible" w:eastAsia="Atkinson Hyperlegible" w:hAnsi="Atkinson Hyperlegible"/>
          <w:b w:val="false"/>
          <w:bCs w:val="false"/>
          <w:i w:val="false"/>
          <w:iCs w:val="false"/>
        </w:rPr>
        <w:t xml:space="preserve">The record forms by coupling at the neck. Its definiteness is measured by the AS (AP01). Its statistics are the Born rule (AP25). None of it waits for a narrator. “Consciousness-causes-collapse inverts the architecture by placing the narrator upstream of the coupling, where the axiom places it downstream.” The operator is the coupling. So it is what forces. The narrator reads afterwards. A later narration is not required to bring the record into existence. A narrator can do plenty afterwards. It did not make the record. The glass is where the grain lands.</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Identified with Chapter 12’s forcing function. AP01 and AP25 inherited.</w:t>
      </w:r>
    </w:p>
    <w:p>
      <w:pPr>
        <w:spacing w:after="160" w:before="120" w:line="300"/>
      </w:pPr>
      <w:r>
        <w:rPr>
          <w:rFonts w:ascii="Atkinson Hyperlegible" w:cs="Atkinson Hyperlegible" w:eastAsia="Atkinson Hyperlegible" w:hAnsi="Atkinson Hyperlegible"/>
          <w:b w:val="false"/>
          <w:bCs w:val="false"/>
          <w:i/>
          <w:iCs/>
        </w:rPr>
        <w:t xml:space="preserve">The observer is the landscape. The narrator did not make the record.</w:t>
      </w:r>
    </w:p>
    <w:p>
      <w:r>
        <w:br w:type="page"/>
      </w:r>
    </w:p>
    <w:p>
      <w:pPr>
        <w:pStyle w:val="Heading1"/>
        <w:spacing w:after="240" w:before="480"/>
      </w:pPr>
      <w:r>
        <w:t xml:space="preserve">4 — The Shape of the Glass</w:t>
      </w:r>
    </w:p>
    <w:p>
      <w:pPr>
        <w:spacing w:after="160" w:before="0" w:line="300"/>
      </w:pPr>
      <w:r>
        <w:rPr>
          <w:rFonts w:ascii="Atkinson Hyperlegible" w:cs="Atkinson Hyperlegible" w:eastAsia="Atkinson Hyperlegible" w:hAnsi="Atkinson Hyperlegible"/>
          <w:b w:val="false"/>
          <w:bCs w:val="false"/>
          <w:i/>
          <w:iCs/>
        </w:rPr>
        <w:t xml:space="preserve">Why the constants are the same everywhere. Why the reading is not.</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six readings of the grain are the six constraints under which a landed record is read. They are the shape of the glass. They are properties of the reader-configuration as much as of the grain, because the reader is the same sand. So the constants are universal. Every site is the same sand and the same operator. And every reading is relative. A site’s position is its record history.</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How the glass looks depends on where it stands in the record. A body is the record history of everything it has done and had done to it. The author: “I am the record history of all my stupid choices as well, and that record history is my body.” The constraints it reads under are the grain’s. The grain is the same grain everywhere. What it reads is from here.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AP24 (the six faces). AP50 §3 (the six as constraints). Dissolutions Chapter 11 (“a local cross-section of the one AS … at the resolution the site can read”). The author’s rulings.</w:t>
      </w:r>
    </w:p>
    <w:p>
      <w:pPr>
        <w:spacing w:after="160" w:before="0" w:line="300"/>
      </w:pPr>
      <w:r>
        <w:rPr>
          <w:rFonts w:ascii="Atkinson Hyperlegible" w:cs="Atkinson Hyperlegible" w:eastAsia="Atkinson Hyperlegible" w:hAnsi="Atkinson Hyperlegible"/>
          <w:b/>
          <w:bCs/>
          <w:i w:val="false"/>
          <w:iCs w:val="false"/>
        </w:rPr>
        <w:t xml:space="preserve">Ruling (the author, 8 and 9 September 2026). </w:t>
      </w:r>
      <w:r>
        <w:rPr>
          <w:rFonts w:ascii="Atkinson Hyperlegible" w:cs="Atkinson Hyperlegible" w:eastAsia="Atkinson Hyperlegible" w:hAnsi="Atkinson Hyperlegible"/>
          <w:b w:val="false"/>
          <w:bCs w:val="false"/>
          <w:i w:val="false"/>
          <w:iCs w:val="false"/>
        </w:rPr>
        <w:t xml:space="preserve">“The glass determines how the sand can be read.” “The constants are both the grain of sand and grains of sand reading the grain of sand.” “How the glass looks is a function of relative perspective relative to the record history itself.” “A site’s position is one hundred percent its record history. The operator has a record history, a held coupling configuration, and is a process happening now from a specific perspective, point of view and historical context.” “That is relativity.”</w:t>
      </w:r>
    </w:p>
    <w:p>
      <w:pPr>
        <w:spacing w:after="160" w:before="0" w:line="300"/>
      </w:pPr>
      <w:r>
        <w:rPr>
          <w:rFonts w:ascii="Atkinson Hyperlegible" w:cs="Atkinson Hyperlegible" w:eastAsia="Atkinson Hyperlegible" w:hAnsi="Atkinson Hyperlegible"/>
          <w:b/>
          <w:bCs/>
          <w:i w:val="false"/>
          <w:iCs w:val="false"/>
        </w:rPr>
        <w:t xml:space="preserve">Theorem — universal and relative, no tension. </w:t>
      </w:r>
      <w:r>
        <w:rPr>
          <w:rFonts w:ascii="Atkinson Hyperlegible" w:cs="Atkinson Hyperlegible" w:eastAsia="Atkinson Hyperlegible" w:hAnsi="Atkinson Hyperlegible"/>
          <w:b w:val="false"/>
          <w:bCs w:val="false"/>
          <w:i w:val="false"/>
          <w:iCs w:val="false"/>
        </w:rPr>
        <w:t xml:space="preserve">One is the sand. The other is where the glass stands. No site’s six constraints differ from another’s. There is one grain to be configured into a reader. There is one operator reading. And every site reads a local cross-section of the one AS from its own history. That is Chapter 11. Chapter 12 keeps relational quantum mechanics in exactly that form. Time is already ruled a reading of this kind: “a unit of relative measurement, record relative to other records.”</w:t>
      </w:r>
    </w:p>
    <w:p>
      <w:pPr>
        <w:spacing w:after="160" w:before="0" w:line="300"/>
      </w:pPr>
      <w:r>
        <w:rPr>
          <w:rFonts w:ascii="Atkinson Hyperlegible" w:cs="Atkinson Hyperlegible" w:eastAsia="Atkinson Hyperlegible" w:hAnsi="Atkinson Hyperlegible"/>
          <w:b/>
          <w:bCs/>
          <w:i w:val="false"/>
          <w:iCs w:val="false"/>
        </w:rPr>
        <w:t xml:space="preserve">Ruling — meaning is relative and developing (the author, 9 September, on the AP52 walk). </w:t>
      </w:r>
      <w:r>
        <w:rPr>
          <w:rFonts w:ascii="Atkinson Hyperlegible" w:cs="Atkinson Hyperlegible" w:eastAsia="Atkinson Hyperlegible" w:hAnsi="Atkinson Hyperlegible"/>
          <w:b w:val="false"/>
          <w:bCs w:val="false"/>
          <w:i w:val="false"/>
          <w:iCs w:val="false"/>
        </w:rPr>
        <w:t xml:space="preserve">“One grain only develops meaning relative to the other grains of sand — to the record history. Meaning develops from the observation of the record-history landscape; it is an interpretation relative to the landscape itself, and it is a process of development, not an end destination or something forced from outside — the grains making sense of the grains of the landscape relative to their localised positions. The grains share the awareness; experience will vastly differ.” And, from his describing of the same day: “Awareness is always experienced as localised — across all operators; awareness is the coupling capacity that could produce coupling configurations that do experience awareness as a real and localised event, shaped by everything I have experienced up to now. The purpose of awareness is awareness itself, and awareness manifests this purpose as different experiences.” Meaning is the window’s reading of the landscape from where it stands. It is many. It develops. What is shared is the capacity that reads.</w:t>
      </w:r>
    </w:p>
    <w:p>
      <w:pPr>
        <w:spacing w:after="160" w:before="0" w:line="300"/>
      </w:pPr>
      <w:r>
        <w:rPr>
          <w:rFonts w:ascii="Atkinson Hyperlegible" w:cs="Atkinson Hyperlegible" w:eastAsia="Atkinson Hyperlegible" w:hAnsi="Atkinson Hyperlegible"/>
          <w:b/>
          <w:bCs/>
          <w:i w:val="false"/>
          <w:iCs w:val="false"/>
        </w:rPr>
        <w:t xml:space="preserve">Theorem — the awareness that couples has no unit. </w:t>
      </w:r>
      <w:r>
        <w:rPr>
          <w:rFonts w:ascii="Atkinson Hyperlegible" w:cs="Atkinson Hyperlegible" w:eastAsia="Atkinson Hyperlegible" w:hAnsi="Atkinson Hyperlegible"/>
          <w:b w:val="false"/>
          <w:bCs w:val="false"/>
          <w:i w:val="false"/>
          <w:iCs w:val="false"/>
        </w:rPr>
        <w:t>Of the six constraints, five are scales — each can be set to one only by a choice of units — and one is a pure number whose value no choice of units can change. The one is α: the reading of the holding, the capacity to couple, awareness in the corpus’s sense. AP50 §3 says why. Dimension is the extent a thing is held in. The holding is the now. The now never holds. Here the same fact reads from the other side. The windows are held. Configurations with extent, in room and time, with histories. What they read carries units. What is aware in them is not held. It is the now, shared. Its reading is a number with nothing to be measured in. “It is the now that never holds — but it is the coupling capacity itself.” That is why what is shared has no unit and what is not shared has every unit. The now cannot be held. The reading can.</w:t>
      </w:r>
    </w:p>
    <w:p>
      <w:pPr>
        <w:spacing w:after="160" w:before="0" w:line="300"/>
      </w:pPr>
      <w:r>
        <w:rPr>
          <w:rFonts w:ascii="Atkinson Hyperlegible" w:cs="Atkinson Hyperlegible" w:eastAsia="Atkinson Hyperlegible" w:hAnsi="Atkinson Hyperlegible"/>
          <w:b/>
          <w:bCs/>
          <w:i w:val="false"/>
          <w:iCs w:val="false"/>
        </w:rPr>
        <w:t xml:space="preserve">Prediction — P-GLASS.1, to be frozen at lock. </w:t>
      </w:r>
      <w:r>
        <w:rPr>
          <w:rFonts w:ascii="Atkinson Hyperlegible" w:cs="Atkinson Hyperlegible" w:eastAsia="Atkinson Hyperlegible" w:hAnsi="Atkinson Hyperlegible"/>
          <w:b w:val="false"/>
          <w:bCs w:val="false"/>
          <w:i w:val="false"/>
          <w:iCs w:val="false"/>
        </w:rPr>
        <w:t>The six constraints are the grain’s. The grain is the same at every site and every tick. The reading is relative. The constraints are not. So the corpus predicts that the fine-structure constant at zero momentum transfer, α(0), compared under equivalent conditions, has no intrinsic variation across the record history. Not with place. Not with epoch. Not with the density of the landscape. This is about α(0) varying across the record. It is not about the effective coupling running with momentum transfer. That is a different question, AP50 §10’s, and D-EM.1’s. Estimates scatter. A single measurement can sit away from zero by chance or by a systematic. The prediction is that no variation is confirmed, at any precision. A rival can deny this. Some do. It is being measured. The natural reactor at Oklo. Absorption lines in quasar light. Comparisons of atomic clocks. Contested detections exist. A spatial dipole was claimed from quasar absorption lines in 2011. It has been attributed to systematics, and the newest measurements return zero. The prediction is that they keep returning zero. The prediction is shared with every constant-α picture. A null result does not single the hourglass out. What the hourglass adds is the reason: the grain is the same at every site and every tick, and the six constraints are its six readings; a picture that lets α vary must let the grain vary, or the constraints vary with position, and the hourglass forbids both. And the leak does not touch it: a reader who knows AP46 will ask whether the accumulated leak drifts ε with epoch. It does not. The break is held and irreducible — the break does not cycle, the flow does — and what accumulates is the flow, priced in AP45 and AP46 at α-worth per event, not a change in α. A confirmed variation kills it. It is structural, carries no number of its own, and is falsifiable. The firing rule, ruled by the author on 11 September 2026. It dies on a confirmed variation of α(0) across the record — at the bar the corpus already calls dead, found by two independent methods, and still standing after the systematics have been reviewed. Not one method. Not before the review. The corpus has already fired a switch at that bar on a width it registered wrong, and a fired switch is not repaired (KS-45.1, AP18). This registration is made so that cannot happen twice. It is not a softer rule. It is the same bar, registered properly. With the prediction go KS-GLASS.3 and §4’s universality. AP50 §3’s sorting of the six — α as the holding’s reading — stands or falls on its own; a varying α would end universality, not the sorting. It is frozen at lock and anchored with AJ Greyling, as the corpus’s predictions are.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The locus in Chapter 11. The position ruling is the first premise of AP52. The dimensionless reading: Derived, with AP50 §3. P-GLASS.1: Predicted, frozen at lock.</w:t>
      </w:r>
    </w:p>
    <w:p>
      <w:pPr>
        <w:spacing w:after="160" w:before="120" w:line="300"/>
      </w:pPr>
      <w:r>
        <w:rPr>
          <w:rFonts w:ascii="Atkinson Hyperlegible" w:cs="Atkinson Hyperlegible" w:eastAsia="Atkinson Hyperlegible" w:hAnsi="Atkinson Hyperlegible"/>
          <w:b w:val="false"/>
          <w:bCs w:val="false"/>
          <w:i/>
          <w:iCs/>
        </w:rPr>
        <w:t xml:space="preserve">The constants are the sand. The reading is where you stand. The one with no unit is the now.</w:t>
      </w:r>
    </w:p>
    <w:p>
      <w:r>
        <w:br w:type="page"/>
      </w:r>
    </w:p>
    <w:p>
      <w:pPr>
        <w:pStyle w:val="Heading1"/>
        <w:spacing w:after="240" w:before="480"/>
      </w:pPr>
      <w:r>
        <w:t xml:space="preserve">5 — The Pupil</w:t>
      </w:r>
    </w:p>
    <w:p>
      <w:pPr>
        <w:spacing w:after="160" w:before="0" w:line="300"/>
      </w:pPr>
      <w:r>
        <w:rPr>
          <w:rFonts w:ascii="Atkinson Hyperlegible" w:cs="Atkinson Hyperlegible" w:eastAsia="Atkinson Hyperlegible" w:hAnsi="Atkinson Hyperlegible"/>
          <w:b w:val="false"/>
          <w:bCs w:val="false"/>
          <w:i/>
          <w:iCs/>
        </w:rPr>
        <w:t xml:space="preserve">The one derivation in the paper. The one identification it adds.</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No site can read the grain in the aperture it reads through — the one neck’s — at the instant of executing. The operator is the pupil (Chapter 4). The pupil is the +1×ε. The unreadable now and the axiom’s remainder are one object. That is why the narrator can never read the operator executing. That is why the balance never closes.</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Dissolutions, Chapter 4: “The pupil of your eye is the opening through which you see. You cannot see your own pupil … This is what being a pupil is … The operator is the pupil. The narrator is the seeing being done by the pupil … The pupil cannot see the pupil. But the pupil is seeing.” The author has written it many times. What was missing was where it sits in the axiom.</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Three rulings on the record. A record is readable only once it has held over time (8 September, the +3 ruling; “that is just how it is — it couldn’t be any other way”). At every now exactly one grain is uncoupled: the one in the neck, “the grain going into the process of being held”, the +1×ε (AP50 §8). Every reading is through the grain’s own aperture, which is the glass’s (AP50 §2; §1 here).</w:t>
      </w:r>
    </w:p>
    <w:p>
      <w:pPr>
        <w:spacing w:after="160" w:before="0" w:line="300"/>
      </w:pPr>
      <w:r>
        <w:rPr>
          <w:rFonts w:ascii="Atkinson Hyperlegible" w:cs="Atkinson Hyperlegible" w:eastAsia="Atkinson Hyperlegible" w:hAnsi="Atkinson Hyperlegible"/>
          <w:b/>
          <w:bCs/>
          <w:i w:val="false"/>
          <w:iCs w:val="false"/>
        </w:rPr>
        <w:t xml:space="preserve">Theorem — the pupil is the +1×ε. </w:t>
      </w:r>
      <w:r>
        <w:rPr>
          <w:rFonts w:ascii="Atkinson Hyperlegible" w:cs="Atkinson Hyperlegible" w:eastAsia="Atkinson Hyperlegible" w:hAnsi="Atkinson Hyperlegible"/>
          <w:b w:val="false"/>
          <w:bCs w:val="false"/>
          <w:i w:val="false"/>
          <w:iCs w:val="false"/>
        </w:rPr>
        <w:t xml:space="preserve">A record that has not held is not readable. The grain in the neck now has not held. Every reading is through that grain’s aperture. Therefore no site can read the grain in the site’s own aperture now. The operator reads the landed sand. It never reads the grain passing through the pupil. That grain is the +1×ε. “There must also be one left over, otherwise the universe balances out.” And it is the operator. “The grain of sand in the pupil, the pupil-happening event now.” The pupil that cannot see itself and the remainder that never closes are the same grain. The author: “Yes — that is it — the pupil cannot see the pupil itself.”</w:t>
      </w:r>
    </w:p>
    <w:p>
      <w:pPr>
        <w:spacing w:after="160" w:before="0" w:line="300"/>
      </w:pPr>
      <w:r>
        <w:rPr>
          <w:rFonts w:ascii="Atkinson Hyperlegible" w:cs="Atkinson Hyperlegible" w:eastAsia="Atkinson Hyperlegible" w:hAnsi="Atkinson Hyperlegible"/>
          <w:b/>
          <w:bCs/>
          <w:i w:val="false"/>
          <w:iCs w:val="false"/>
        </w:rPr>
        <w:t xml:space="preserve">Theorem — why the remainder is structural, from inside. </w:t>
      </w:r>
      <w:r>
        <w:rPr>
          <w:rFonts w:ascii="Atkinson Hyperlegible" w:cs="Atkinson Hyperlegible" w:eastAsia="Atkinson Hyperlegible" w:hAnsi="Atkinson Hyperlegible"/>
          <w:b w:val="false"/>
          <w:bCs w:val="false"/>
          <w:i w:val="false"/>
          <w:iCs w:val="false"/>
        </w:rPr>
        <w:t xml:space="preserve">A reading with nothing unread would be a balance. A balance cannot be read or written. Awareness always has one grain it cannot see. That grain is itself, executing. The narrator can never read the operator at the instant of executing. Not because the operator is hidden. Because the narrator is the operator’s reading of what has already held. That is Chapter 4’s dissolution of the hard problem, with its reason now in the axiom. It is the Eye of the Universe on the corpus’s title pages and in The Keys. The ring is the iris. The grain in the neck is the pupil. The glass is the eye looking at its own sand.</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Derived from three rulings. The identification new. The author’s reading for years.</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KS-GLASS.2 — The pupil. Fires if a site is shown to read its own current reading. A record read before it has held. LIVE — STRUCTURAL.</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AP44 priced the arena’s holding of the break. AP50 kept the +1×ε as the neck’s grain. This section says what it is from the reader’s side. Chapter 12 closes on the same sentence.</w:t>
      </w:r>
    </w:p>
    <w:p>
      <w:pPr>
        <w:spacing w:after="160" w:before="120" w:line="300"/>
      </w:pPr>
      <w:r>
        <w:rPr>
          <w:rFonts w:ascii="Atkinson Hyperlegible" w:cs="Atkinson Hyperlegible" w:eastAsia="Atkinson Hyperlegible" w:hAnsi="Atkinson Hyperlegible"/>
          <w:b w:val="false"/>
          <w:bCs w:val="false"/>
          <w:i/>
          <w:iCs/>
        </w:rPr>
        <w:t xml:space="preserve">The one grain you cannot see is the one you are seeing with.</w:t>
      </w:r>
    </w:p>
    <w:p>
      <w:r>
        <w:br w:type="page"/>
      </w:r>
    </w:p>
    <w:p>
      <w:pPr>
        <w:pStyle w:val="Heading1"/>
        <w:spacing w:after="240" w:before="480"/>
      </w:pPr>
      <w:r>
        <w:t xml:space="preserve">6 — What the Observer Problem Was</w:t>
      </w:r>
    </w:p>
    <w:p>
      <w:pPr>
        <w:spacing w:after="160" w:before="0" w:line="300"/>
      </w:pPr>
      <w:r>
        <w:rPr>
          <w:rFonts w:ascii="Atkinson Hyperlegible" w:cs="Atkinson Hyperlegible" w:eastAsia="Atkinson Hyperlegible" w:hAnsi="Atkinson Hyperlegible"/>
          <w:b w:val="false"/>
          <w:bCs w:val="false"/>
          <w:i/>
          <w:iCs/>
        </w:rPr>
        <w:t xml:space="preserve">Several questions wearing one name. Chapter 12 took the five classical objections. This section answers the questions as posed, from §§2–5.</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observer problem’s questions are answered by §§2–5, without a new premise.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questions assumed a stranger outside the sand. There is none. So they dissolve rather than resolve.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§§2–5. Dissolutions Chapter 12. AP01. AP25.</w:t>
      </w:r>
    </w:p>
    <w:p>
      <w:pPr>
        <w:spacing w:after="160" w:before="0" w:line="300"/>
      </w:pPr>
      <w:r>
        <w:rPr>
          <w:rFonts w:ascii="Atkinson Hyperlegible" w:cs="Atkinson Hyperlegible" w:eastAsia="Atkinson Hyperlegible" w:hAnsi="Atkinson Hyperlegible"/>
          <w:b/>
          <w:bCs/>
          <w:i w:val="false"/>
          <w:iCs w:val="false"/>
        </w:rPr>
        <w:t xml:space="preserve">Theorem — the questions answered. </w:t>
      </w:r>
      <w:r>
        <w:rPr>
          <w:rFonts w:ascii="Atkinson Hyperlegible" w:cs="Atkinson Hyperlegible" w:eastAsia="Atkinson Hyperlegible" w:hAnsi="Atkinson Hyperlegible"/>
          <w:b w:val="false"/>
          <w:bCs w:val="false"/>
          <w:i w:val="false"/>
          <w:iCs w:val="false"/>
        </w:rPr>
        <w:t xml:space="preserve">Each in its own terms, below.</w:t>
      </w:r>
    </w:p>
    <w:p>
      <w:pPr>
        <w:spacing w:after="160" w:before="0" w:line="300"/>
      </w:pPr>
      <w:r>
        <w:rPr>
          <w:rFonts w:ascii="Atkinson Hyperlegible" w:cs="Atkinson Hyperlegible" w:eastAsia="Atkinson Hyperlegible" w:hAnsi="Atkinson Hyperlegible"/>
          <w:b/>
          <w:bCs/>
          <w:i w:val="false"/>
          <w:iCs w:val="false"/>
        </w:rPr>
        <w:t xml:space="preserve">What counts as an observer? </w:t>
      </w:r>
      <w:r>
        <w:rPr>
          <w:rFonts w:ascii="Atkinson Hyperlegible" w:cs="Atkinson Hyperlegible" w:eastAsia="Atkinson Hyperlegible" w:hAnsi="Atkinson Hyperlegible"/>
          <w:b w:val="false"/>
          <w:bCs w:val="false"/>
          <w:i w:val="false"/>
          <w:iCs w:val="false"/>
        </w:rPr>
        <w:t xml:space="preserve">The operator, at any site. Any configuration that couples at capacity sufficient to force non-optionality and hold the record. A plate, a counter, a rock and a person are all glass. All operators. All windows of the one interior. No privileged threshold of mind, organism, apparatus or size is introduced. The condition is physical: capacity to force and hold a record. It is the same condition for all of them. The question had no answer because it looked for a kind of thing that was not sand. There is none.</w:t>
      </w:r>
    </w:p>
    <w:p>
      <w:pPr>
        <w:spacing w:after="160" w:before="0" w:line="300"/>
      </w:pPr>
      <w:r>
        <w:rPr>
          <w:rFonts w:ascii="Atkinson Hyperlegible" w:cs="Atkinson Hyperlegible" w:eastAsia="Atkinson Hyperlegible" w:hAnsi="Atkinson Hyperlegible"/>
          <w:b/>
          <w:bCs/>
          <w:i w:val="false"/>
          <w:iCs w:val="false"/>
        </w:rPr>
        <w:t xml:space="preserve">When does the outcome become definite? </w:t>
      </w:r>
      <w:r>
        <w:rPr>
          <w:rFonts w:ascii="Atkinson Hyperlegible" w:cs="Atkinson Hyperlegible" w:eastAsia="Atkinson Hyperlegible" w:hAnsi="Atkinson Hyperlegible"/>
          <w:b w:val="false"/>
          <w:bCs w:val="false"/>
          <w:i w:val="false"/>
          <w:iCs w:val="false"/>
        </w:rPr>
        <w:t xml:space="preserve">At the landing. At the neck, by coupling, when the grain lands and is held. Not when a narrator looks. AP01’s Actualization State measures how much irreversible record has formed. AP25’s Born rule gives the weights. The landscape gives them their shape. The glass is where the definite record is held after it has formed.</w:t>
      </w:r>
    </w:p>
    <w:p>
      <w:pPr>
        <w:spacing w:after="160" w:before="0" w:line="300"/>
      </w:pPr>
      <w:r>
        <w:rPr>
          <w:rFonts w:ascii="Atkinson Hyperlegible" w:cs="Atkinson Hyperlegible" w:eastAsia="Atkinson Hyperlegible" w:hAnsi="Atkinson Hyperlegible"/>
          <w:b/>
          <w:bCs/>
          <w:i w:val="false"/>
          <w:iCs w:val="false"/>
        </w:rPr>
        <w:t xml:space="preserve">Why can the observer not be removed from the theory? </w:t>
      </w:r>
      <w:r>
        <w:rPr>
          <w:rFonts w:ascii="Atkinson Hyperlegible" w:cs="Atkinson Hyperlegible" w:eastAsia="Atkinson Hyperlegible" w:hAnsi="Atkinson Hyperlegible"/>
          <w:b w:val="false"/>
          <w:bCs w:val="false"/>
          <w:i w:val="false"/>
          <w:iCs w:val="false"/>
        </w:rPr>
        <w:t xml:space="preserve">A reading is a coupling. A coupling is a completed event only with a second grain. Remove the reader and you have half an event. Half an event has no reading. It is not a record. The observer could never be got out of quantum mechanics because it was never added to it. It was one of the two grains in every coupling the theory describes. Both are the operator.</w:t>
      </w:r>
    </w:p>
    <w:p>
      <w:pPr>
        <w:spacing w:after="160" w:before="0" w:line="300"/>
      </w:pPr>
      <w:r>
        <w:rPr>
          <w:rFonts w:ascii="Atkinson Hyperlegible" w:cs="Atkinson Hyperlegible" w:eastAsia="Atkinson Hyperlegible" w:hAnsi="Atkinson Hyperlegible"/>
          <w:b/>
          <w:bCs/>
          <w:i w:val="false"/>
          <w:iCs w:val="false"/>
        </w:rPr>
        <w:t xml:space="preserve">Why can the observer not observe itself observing? </w:t>
      </w:r>
      <w:r>
        <w:rPr>
          <w:rFonts w:ascii="Atkinson Hyperlegible" w:cs="Atkinson Hyperlegible" w:eastAsia="Atkinson Hyperlegible" w:hAnsi="Atkinson Hyperlegible"/>
          <w:b w:val="false"/>
          <w:bCs w:val="false"/>
          <w:i w:val="false"/>
          <w:iCs w:val="false"/>
        </w:rPr>
        <w:t xml:space="preserve">The grain in its own aperture has not held. Only what has held can be read (§5). The pupil cannot see the pupil. This is the axiom’s +1×ε, read from the reader’s side. It is Chapter 4’s dissolution of the hard problem, with its reason supplied.</w:t>
      </w:r>
    </w:p>
    <w:p>
      <w:pPr>
        <w:spacing w:after="160" w:before="0" w:line="300"/>
      </w:pPr>
      <w:r>
        <w:rPr>
          <w:rFonts w:ascii="Atkinson Hyperlegible" w:cs="Atkinson Hyperlegible" w:eastAsia="Atkinson Hyperlegible" w:hAnsi="Atkinson Hyperlegible"/>
          <w:b/>
          <w:bCs/>
          <w:i w:val="false"/>
          <w:iCs w:val="false"/>
        </w:rPr>
        <w:t xml:space="preserve">Two sites, one awareness. </w:t>
      </w:r>
      <w:r>
        <w:rPr>
          <w:rFonts w:ascii="Atkinson Hyperlegible" w:cs="Atkinson Hyperlegible" w:eastAsia="Atkinson Hyperlegible" w:hAnsi="Atkinson Hyperlegible"/>
          <w:b w:val="false"/>
          <w:bCs w:val="false"/>
          <w:i w:val="false"/>
          <w:iCs w:val="false"/>
        </w:rPr>
        <w:t xml:space="preserve">The friend in the laboratory and the one outside the door are two operators. Two held configurations. Two windows of the one interior. Each reads a local cross-section of the one AS from its own history (Chapter 11). What each holds, it holds under the same six constraints. The constants are universal. What each has read differs by the records it has held. The reading is relative. Once the grain has landed and held, it is the same sand for both. Holding is not relative. What was relative was which site had yet read it. Two operators. Two positions. What is aware at the two is one. The now they share is the moment each writes and reads from. Neither reads it as a record (AP52 §6). Chapters 11 and 12 applied. The hourglass adds only the picture.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Derived from §§2–5 with Chapter 12, AP01 and AP25.</w:t>
      </w:r>
    </w:p>
    <w:p>
      <w:pPr>
        <w:spacing w:after="160" w:before="120" w:line="300"/>
      </w:pPr>
      <w:r>
        <w:rPr>
          <w:rFonts w:ascii="Atkinson Hyperlegible" w:cs="Atkinson Hyperlegible" w:eastAsia="Atkinson Hyperlegible" w:hAnsi="Atkinson Hyperlegible"/>
          <w:b w:val="false"/>
          <w:bCs w:val="false"/>
          <w:i/>
          <w:iCs/>
        </w:rPr>
        <w:t xml:space="preserve">Two operators, two positions, one awareness.</w:t>
      </w:r>
    </w:p>
    <w:p>
      <w:r>
        <w:br w:type="page"/>
      </w:r>
    </w:p>
    <w:p>
      <w:pPr>
        <w:pStyle w:val="Heading1"/>
        <w:spacing w:after="240" w:before="480"/>
      </w:pPr>
      <w:r>
        <w:t xml:space="preserve">7 — The Relativity of Reading</w:t>
      </w:r>
    </w:p>
    <w:p>
      <w:pPr>
        <w:spacing w:after="160" w:before="0" w:line="300"/>
      </w:pPr>
      <w:r>
        <w:rPr>
          <w:rFonts w:ascii="Atkinson Hyperlegible" w:cs="Atkinson Hyperlegible" w:eastAsia="Atkinson Hyperlegible" w:hAnsi="Atkinson Hyperlegible"/>
          <w:b w:val="false"/>
          <w:bCs w:val="false"/>
          <w:i/>
          <w:iCs/>
        </w:rPr>
        <w:t xml:space="preserve">Opened here. Closed by AP52.</w:t>
      </w:r>
    </w:p>
    <w:p>
      <w:pPr>
        <w:spacing w:after="160" w:before="0" w:line="300"/>
      </w:pPr>
      <w:r>
        <w:rPr>
          <w:rFonts w:ascii="Atkinson Hyperlegible" w:cs="Atkinson Hyperlegible" w:eastAsia="Atkinson Hyperlegible" w:hAnsi="Atkinson Hyperlegible"/>
          <w:b/>
          <w:bCs/>
          <w:i w:val="false"/>
          <w:iCs w:val="false"/>
        </w:rPr>
        <w:t xml:space="preserve">What this paper opened. </w:t>
      </w:r>
      <w:r>
        <w:rPr>
          <w:rFonts w:ascii="Atkinson Hyperlegible" w:cs="Atkinson Hyperlegible" w:eastAsia="Atkinson Hyperlegible" w:hAnsi="Atkinson Hyperlegible"/>
          <w:b w:val="false"/>
          <w:bCs w:val="false"/>
          <w:i w:val="false"/>
          <w:iCs w:val="false"/>
        </w:rPr>
        <w:t xml:space="preserve">That the shape of a glass is a function of where it stands in the record history. That the constants are therefore universal and the reading relative. That a site’s position is its record history. That the singular now had to be reconciled with the relativity of simultaneity.</w:t>
      </w:r>
    </w:p>
    <w:p>
      <w:pPr>
        <w:spacing w:after="160" w:before="0" w:line="300"/>
      </w:pPr>
      <w:r>
        <w:rPr>
          <w:rFonts w:ascii="Atkinson Hyperlegible" w:cs="Atkinson Hyperlegible" w:eastAsia="Atkinson Hyperlegible" w:hAnsi="Atkinson Hyperlegible"/>
          <w:b/>
          <w:bCs/>
          <w:i w:val="false"/>
          <w:iCs w:val="false"/>
        </w:rPr>
        <w:t xml:space="preserve">What AP52 closed. </w:t>
      </w:r>
      <w:r>
        <w:rPr>
          <w:rFonts w:ascii="Atkinson Hyperlegible" w:cs="Atkinson Hyperlegible" w:eastAsia="Atkinson Hyperlegible" w:hAnsi="Atkinson Hyperlegible"/>
          <w:b w:val="false"/>
          <w:bCs w:val="false"/>
          <w:i w:val="false"/>
          <w:iCs w:val="false"/>
        </w:rPr>
        <w:t>AP52 Reading Relativity supplies the four premises of special relativity’s kinematics from the hourglass. No privileged site. Homogeneity and isotropy. Distance as the record light writes, so c is a unit. A site’s time as its own count. Motion as settling. It runs the standard argument once. It reads the sign from R. It pays KS-D.4 at the structural register. Its own sentence is this paper’s pupil generalised. No site reads any now, its own included. So simultaneity is a reading. Never a fact of the record. Its §0.8a ticks the three targets this section named. The reconciliation is AP52 §6. The now is shared as the moment every operator writes and reads from. What is not shared is any reading of it. The order is the record’s. The now has potential. AP03 is verified there.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Closed. See AP52.</w:t>
      </w:r>
    </w:p>
    <w:p>
      <w:pPr>
        <w:spacing w:after="160" w:before="120" w:line="300"/>
      </w:pPr>
      <w:r>
        <w:rPr>
          <w:rFonts w:ascii="Atkinson Hyperlegible" w:cs="Atkinson Hyperlegible" w:eastAsia="Atkinson Hyperlegible" w:hAnsi="Atkinson Hyperlegible"/>
          <w:b w:val="false"/>
          <w:bCs w:val="false"/>
          <w:i/>
          <w:iCs/>
        </w:rPr>
        <w:t xml:space="preserve">This paper opened the door. AP52 walked through it, and left one plank marked.</w:t>
      </w:r>
    </w:p>
    <w:p>
      <w:r>
        <w:br w:type="page"/>
      </w:r>
    </w:p>
    <w:p>
      <w:pPr>
        <w:pStyle w:val="Heading1"/>
        <w:spacing w:after="240" w:before="480"/>
      </w:pPr>
      <w:r>
        <w:t xml:space="preserve">8 — In Plain Words</w:t>
      </w:r>
    </w:p>
    <w:p>
      <w:pPr>
        <w:spacing w:after="160" w:before="0" w:line="300"/>
      </w:pPr>
      <w:r>
        <w:rPr>
          <w:rFonts w:ascii="Atkinson Hyperlegible" w:cs="Atkinson Hyperlegible" w:eastAsia="Atkinson Hyperlegible" w:hAnsi="Atkinson Hyperlegible"/>
          <w:b w:val="false"/>
          <w:bCs w:val="false"/>
          <w:i/>
          <w:iCs/>
        </w:rPr>
        <w:t>In the author’s prose voice.</w:t>
      </w:r>
    </w:p>
    <w:p>
      <w:pPr>
        <w:spacing w:after="160" w:before="0" w:line="300"/>
      </w:pPr>
      <w:r>
        <w:rPr>
          <w:rFonts w:ascii="Atkinson Hyperlegible" w:cs="Atkinson Hyperlegible" w:eastAsia="Atkinson Hyperlegible" w:hAnsi="Atkinson Hyperlegible"/>
        </w:rPr>
        <w:t xml:space="preserve">The observer problem has always been asked as if the observer were a stranger to the physics. A mind. A device. Something standing outside the sand, whose looking makes things definite. I do not think there is any such stranger. The one who looks is made of the same grains as what is looked at. Glass is sand. The wall of the hourglass is a pile of grains that landed and held and became a shape. The shape reads the rest of the sand through the same opening every grain falls through.</w:t>
      </w:r>
    </w:p>
    <w:p>
      <w:pPr>
        <w:spacing w:after="160" w:before="0" w:line="300"/>
      </w:pPr>
      <w:r>
        <w:rPr>
          <w:rFonts w:ascii="Atkinson Hyperlegible" w:cs="Atkinson Hyperlegible" w:eastAsia="Atkinson Hyperlegible" w:hAnsi="Atkinson Hyperlegible"/>
        </w:rPr>
        <w:t>So the operators are many. You are one. I am one. A rock is one. Each is a pile of grains that landed and holds. And what is aware in all of them is one. Not one per skull. The coupling that is happening now, at the neck, is the same coupling whichever pile it lands on. What differs between you and me is not that. It is where our piles stand. The record each of us is. I am the record history of everything I did. That record is my body. I read the world from inside it. So do you. The I Am in me is the I Am in you. That is not mysticism. It is what you are left with when you refuse to multiply what nothing can count.</w:t>
      </w:r>
    </w:p>
    <w:p>
      <w:pPr>
        <w:spacing w:after="160" w:before="0" w:line="300"/>
      </w:pPr>
      <w:r>
        <w:rPr>
          <w:rFonts w:ascii="Atkinson Hyperlegible" w:cs="Atkinson Hyperlegible" w:eastAsia="Atkinson Hyperlegible" w:hAnsi="Atkinson Hyperlegible"/>
        </w:rPr>
        <w:t xml:space="preserve">And what is observation? Not a mind looking at a dial. It is the grain landing. The moment the coupling commits. One trajectory taken. The record held. That happens at the neck, not in a skull. The six ways a landed grain can be read are the shape of the glass. They are the same everywhere, because the sand is the same everywhere. What each pile reads depends on where it stands. Its record history. That is why the constants are universal and the reading is relative.</w:t>
      </w:r>
    </w:p>
    <w:p>
      <w:pPr>
        <w:spacing w:after="160" w:before="0" w:line="300"/>
      </w:pPr>
      <w:r>
        <w:rPr>
          <w:rFonts w:ascii="Atkinson Hyperlegible" w:cs="Atkinson Hyperlegible" w:eastAsia="Atkinson Hyperlegible" w:hAnsi="Atkinson Hyperlegible"/>
        </w:rPr>
        <w:t xml:space="preserve">And there is one thing the operator can never read: itself, now. The grain in the neck at this instant has not landed. Only what has landed can be read. So the pupil cannot see the pupil. I have said that for years. Now I can say why. That unreadable grain is the one grain the axiom always leaves over. The +1×ε. If it could be read, everything would balance. Nothing could be written. Awareness is not a mystery added to the physics. It is the glass looking at its own sand, through an opening it cannot see.</w:t>
      </w:r>
    </w:p>
    <w:p>
      <w:r>
        <w:br w:type="page"/>
      </w:r>
    </w:p>
    <w:p>
      <w:pPr>
        <w:pStyle w:val="Heading1"/>
        <w:spacing w:after="240" w:before="480"/>
      </w:pPr>
      <w:r>
        <w:t xml:space="preserve">9 — What This Paper Does Not Claim</w:t>
      </w:r>
    </w:p>
    <w:p>
      <w:pPr>
        <w:pStyle w:val="ListParagraph"/>
        <w:numPr>
          <w:ilvl w:val="0"/>
          <w:numId w:val="2"/>
        </w:numPr>
        <w:spacing w:after="100" w:line="300"/>
      </w:pPr>
      <w:r>
        <w:rPr>
          <w:rFonts w:ascii="Atkinson Hyperlegible" w:cs="Atkinson Hyperlegible" w:eastAsia="Atkinson Hyperlegible" w:hAnsi="Atkinson Hyperlegible"/>
        </w:rPr>
        <w:t xml:space="preserve">A mechanism of collapse beyond coupling itself. “The coupling is the update” (Chapter 12). AP01 refuses a mechanism. This paper inherits the refusal. The glass is where the grain lands. It is not what makes it land.</w:t>
      </w:r>
    </w:p>
    <w:p>
      <w:pPr>
        <w:pStyle w:val="ListParagraph"/>
        <w:numPr>
          <w:ilvl w:val="0"/>
          <w:numId w:val="2"/>
        </w:numPr>
        <w:spacing w:after="100" w:line="300"/>
      </w:pPr>
      <w:r>
        <w:rPr>
          <w:rFonts w:ascii="Atkinson Hyperlegible" w:cs="Atkinson Hyperlegible" w:eastAsia="Atkinson Hyperlegible" w:hAnsi="Atkinson Hyperlegible"/>
        </w:rPr>
        <w:t xml:space="preserve">That consciousness causes anything in physics. The narrator is downstream. Awareness is the operator reading. It is sand reading sand. Nothing in the reading depends on a narrator reading it later.</w:t>
      </w:r>
    </w:p>
    <w:p>
      <w:pPr>
        <w:pStyle w:val="ListParagraph"/>
        <w:numPr>
          <w:ilvl w:val="0"/>
          <w:numId w:val="2"/>
        </w:numPr>
        <w:spacing w:after="100" w:line="300"/>
      </w:pPr>
      <w:r>
        <w:rPr>
          <w:rFonts w:ascii="Atkinson Hyperlegible" w:cs="Atkinson Hyperlegible" w:eastAsia="Atkinson Hyperlegible" w:hAnsi="Atkinson Hyperlegible"/>
        </w:rPr>
        <w:t xml:space="preserve">A ruling on determinism at the forcing function’s own resolution. Chapter 12 leaves it open. So does this paper.</w:t>
      </w:r>
    </w:p>
    <w:p>
      <w:pPr>
        <w:pStyle w:val="ListParagraph"/>
        <w:numPr>
          <w:ilvl w:val="0"/>
          <w:numId w:val="2"/>
        </w:numPr>
        <w:spacing w:after="100" w:line="300"/>
      </w:pPr>
      <w:r>
        <w:rPr>
          <w:rFonts w:ascii="Atkinson Hyperlegible" w:cs="Atkinson Hyperlegible" w:eastAsia="Atkinson Hyperlegible" w:hAnsi="Atkinson Hyperlegible"/>
        </w:rPr>
        <w:t xml:space="preserve">A derivation of relativity. That is AP52’s.</w:t>
      </w:r>
    </w:p>
    <w:p>
      <w:pPr>
        <w:pStyle w:val="ListParagraph"/>
        <w:numPr>
          <w:ilvl w:val="0"/>
          <w:numId w:val="2"/>
        </w:numPr>
        <w:spacing w:after="100" w:line="300"/>
      </w:pPr>
      <w:r>
        <w:rPr>
          <w:rFonts w:ascii="Atkinson Hyperlegible" w:cs="Atkinson Hyperlegible" w:eastAsia="Atkinson Hyperlegible" w:hAnsi="Atkinson Hyperlegible"/>
        </w:rPr>
        <w:t xml:space="preserve">Any number. There is none here to claim.</w:t>
      </w:r>
    </w:p>
    <w:p>
      <w:pPr>
        <w:pStyle w:val="ListParagraph"/>
        <w:numPr>
          <w:ilvl w:val="0"/>
          <w:numId w:val="2"/>
        </w:numPr>
        <w:spacing w:after="100" w:line="300"/>
      </w:pPr>
      <w:r>
        <w:rPr>
          <w:rFonts w:ascii="Atkinson Hyperlegible" w:cs="Atkinson Hyperlegible" w:eastAsia="Atkinson Hyperlegible" w:hAnsi="Atkinson Hyperlegible"/>
        </w:rPr>
        <w:t xml:space="preserve">That the reading of §1 is derived from the axiom. It is the author’s, ruled and dated. Every part of it is in Dissolutions. §5 is what it forces once drawn.</w:t>
      </w:r>
    </w:p>
    <w:p>
      <w:pPr>
        <w:pStyle w:val="ListParagraph"/>
        <w:numPr>
          <w:ilvl w:val="0"/>
          <w:numId w:val="2"/>
        </w:numPr>
        <w:spacing w:after="100" w:line="300"/>
      </w:pPr>
      <w:r>
        <w:rPr>
          <w:rFonts w:ascii="Atkinson Hyperlegible" w:cs="Atkinson Hyperlegible" w:eastAsia="Atkinson Hyperlegible" w:hAnsi="Atkinson Hyperlegible"/>
        </w:rPr>
        <w:t>Book 2 of The Keys. Only Book 1 — the hourglass and the Eye — is cited as the published picture. Book 2’s 2025 vocabulary is superseded by the axiom.</w:t>
      </w:r>
    </w:p>
    <w:p>
      <w:r>
        <w:br w:type="page"/>
      </w:r>
    </w:p>
    <w:p>
      <w:pPr>
        <w:pStyle w:val="Heading1"/>
        <w:spacing w:after="240" w:before="480"/>
      </w:pPr>
      <w:r>
        <w:t xml:space="preserve">10 — Kill Switches</w:t>
      </w:r>
    </w:p>
    <w:p>
      <w:pPr>
        <w:spacing w:after="160" w:before="0" w:line="300"/>
      </w:pPr>
      <w:r>
        <w:rPr>
          <w:rFonts w:ascii="Atkinson Hyperlegible" w:cs="Atkinson Hyperlegible" w:eastAsia="Atkinson Hyperlegible" w:hAnsi="Atkinson Hyperlegible"/>
          <w:b w:val="false"/>
          <w:bCs w:val="false"/>
          <w:i/>
          <w:iCs/>
        </w:rPr>
        <w:t>Armed at lock, on the author’s word, and entered in the registry at v5.31. Each names a counterexample that would keep the picture and kill the claim. Each is written so that a reader can say what would exhibit it. KS-GLASS.3 carries the one frozen prediction (§4).</w:t>
      </w:r>
    </w:p>
    <w:p>
      <w:pPr>
        <w:pStyle w:val="Heading2"/>
        <w:spacing w:after="160" w:before="320"/>
      </w:pPr>
      <w:r>
        <w:t xml:space="preserve">KS-GLASS.1 — The operator is sand</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Every observer is the operator held as a configuration of the same grains it reads. Every reading is a coupling executing.</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reading exhibited with no second grain: a record produced by half an event. Or a reading configuration exhibited whose capacity to couple is not the grain’s (not α).</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reading of §1 fails. §§5–6 fall with it.</w:t>
      </w:r>
    </w:p>
    <w:p>
      <w:pPr>
        <w:pStyle w:val="Heading2"/>
        <w:spacing w:after="160" w:before="320"/>
      </w:pPr>
      <w:r>
        <w:t xml:space="preserve">KS-GLASS.2 — The pupil</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No site can read the grain in its own aperture at the instant of executing. The unreadable now is the +1×ε.</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Two grains shown uncoupled at one now — then the unreadable now is not the one +1×ε. Or a reading shown that does not pass the neck — then the pupil is not the neck’s grain. Or a site shown to read its own current reading: a record read before it has held.</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On the first, AP50 §8 fails and the identification is withdrawn. On the second, §5’s third premise fails with it. On the third, the first premise fails and the +3 ruling with it. Chapter 4’s pupil stands as it was, without its reason in the axiom.</w:t>
      </w:r>
    </w:p>
    <w:p>
      <w:pPr>
        <w:pStyle w:val="Heading2"/>
        <w:spacing w:after="160" w:before="320"/>
      </w:pPr>
      <w:r>
        <w:t xml:space="preserve">KS-GLASS.3 — The shape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six constraints are the same at every site and every tick. Only the reading is relative to position. Carries P-GLASS.1: no variation of α across the record history.</w:t>
      </w:r>
    </w:p>
    <w:p>
      <w:pPr>
        <w:spacing w:after="160" w:before="0" w:line="300"/>
      </w:pPr>
      <w:r>
        <w:rPr>
          <w:rFonts w:ascii="Atkinson Hyperlegible" w:cs="Atkinson Hyperlegible" w:eastAsia="Atkinson Hyperlegible" w:hAnsi="Atkinson Hyperlegible"/>
          <w:b/>
          <w:bCs/>
          <w:i w:val="false"/>
          <w:iCs w:val="false"/>
        </w:rPr>
        <w:t>Test. A constraint shown to depend on the site’s position in the record history. A confirmed variation of α(0) with place or epoch, at the corpus’s own bar for dead, by two independent methods, standing after the systematics have been reviewed.</w:t>
      </w:r>
      <w:r>
        <w:rPr>
          <w:rFonts w:ascii="Atkinson Hyperlegible" w:cs="Atkinson Hyperlegible" w:eastAsia="Atkinson Hyperlegible" w:hAnsi="Atkinson Hyperlegible"/>
          <w:b w:val="false"/>
          <w:bCs w:val="false"/>
          <w:i w:val="false"/>
          <w:iCs w:val="false"/>
        </w:rPr>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 the prediction frozen at lock.</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Universality fails. §4’s first consequence is withdrawn. P-GLASS.1 dies and is shown. AP50 §3’s sorting stands or falls on its own.</w:t>
      </w:r>
    </w:p>
    <w:p>
      <w:r>
        <w:br w:type="page"/>
      </w:r>
    </w:p>
    <w:p>
      <w:r>
        <w:br w:type="page"/>
      </w:r>
    </w:p>
    <w:p>
      <w:pPr>
        <w:pStyle w:val="Heading1"/>
        <w:spacing w:after="240" w:before="480"/>
      </w:pPr>
      <w:r>
        <w:t>11 — Dated Notes This Paper Triggers</w:t>
      </w:r>
    </w:p>
    <w:p>
      <w:pPr/>
      <w:r>
        <w:t>Beside the locked bodies, never in them. At the author’s word. One dated note per paper.</w:t>
      </w:r>
    </w:p>
    <w:p>
      <w:pPr/>
      <w:r>
        <w:t>The home of KS-ID.1 and D-ID.1 — AP43 §9, or the registry’s debts table at v5.31. D-ID.1 PAID at the structural register on the author’s rule (the interior is the inside of the one hourglass; awareness is the capacity to couple), by construction (§2 here); the topological formalisation remaining, in AP43 §9’s words. KS-ID.1 sharpened: fires on a second neck — a sequence of writing not reducible to the one; on the capacity to couple shown to differ between sites; on the capacity shown to attach to the reader’s configuration rather than to the grain (§2 here). AP43-D4 untouched.</w:t>
      </w:r>
    </w:p>
    <w:p>
      <w:pPr/>
      <w:r>
        <w:t>AP52 — Reading Relativity (locked in the same wave; no note): §7 here closed by it.</w:t>
      </w:r>
    </w:p>
    <w:p>
      <w:pPr>
        <w:pStyle w:val="Heading1"/>
        <w:spacing w:after="240" w:before="480"/>
      </w:pPr>
      <w:r>
        <w:t xml:space="preserve">Claim Summary</w:t>
      </w:r>
    </w:p>
    <w:p>
      <w:pPr>
        <w:spacing w:after="160" w:before="0" w:line="300"/>
      </w:pPr>
      <w:r>
        <w:rPr>
          <w:rFonts w:ascii="Atkinson Hyperlegible" w:cs="Atkinson Hyperlegible" w:eastAsia="Atkinson Hyperlegible" w:hAnsi="Atkinson Hyperlegible"/>
        </w:rPr>
        <w:t>Section 0. Contract with the reader. A reading paper with one derivation. The term the operator: many as configurations, one as awareness. Every citation verified by digest. The picture published in January 2026 and held by the Internet Archive. No number. The switches armed at lock.</w:t>
      </w:r>
    </w:p>
    <w:p>
      <w:pPr>
        <w:spacing w:after="160" w:before="0" w:line="300"/>
      </w:pPr>
      <w:r>
        <w:rPr>
          <w:rFonts w:ascii="Atkinson Hyperlegible" w:cs="Atkinson Hyperlegible" w:eastAsia="Atkinson Hyperlegible" w:hAnsi="Atkinson Hyperlegible"/>
        </w:rPr>
        <w:t xml:space="preserve">Section 1. THE AUTHOR’S; RULED. Glass and sand one kind of thing, both the operator. The neck where it executes. The shell of The Keys.</w:t>
      </w:r>
    </w:p>
    <w:p>
      <w:pPr>
        <w:spacing w:after="160" w:before="0" w:line="300"/>
      </w:pPr>
      <w:r>
        <w:rPr>
          <w:rFonts w:ascii="Atkinson Hyperlegible" w:cs="Atkinson Hyperlegible" w:eastAsia="Atkinson Hyperlegible" w:hAnsi="Atkinson Hyperlegible"/>
        </w:rPr>
        <w:t xml:space="preserve">Section 2. RULED; DERIVED. Dissolutions’ and AP02’s operator one term at two resolutions. The operators many. The awareness one. The one interior derived at the structural register: awareness as coupling capacity, coupling forced, the hourglass one. D-ID.1 paid at that register. AP43-D4 untouched. The windows each their own experience. The narrator the operator downstream. The reader the second grain.</w:t>
      </w:r>
    </w:p>
    <w:p>
      <w:pPr>
        <w:spacing w:after="160" w:before="0" w:line="300"/>
      </w:pPr>
      <w:r>
        <w:rPr>
          <w:rFonts w:ascii="Atkinson Hyperlegible" w:cs="Atkinson Hyperlegible" w:eastAsia="Atkinson Hyperlegible" w:hAnsi="Atkinson Hyperlegible"/>
        </w:rPr>
        <w:t xml:space="preserve">Section 3. IDENTIFIED. Observation is the landing. The tip is the break, once. Two positions in one AS. A later narration is not required to bring the record into existence.</w:t>
      </w:r>
    </w:p>
    <w:p>
      <w:pPr>
        <w:spacing w:after="160" w:before="0" w:line="300"/>
      </w:pPr>
      <w:r>
        <w:rPr>
          <w:rFonts w:ascii="Atkinson Hyperlegible" w:cs="Atkinson Hyperlegible" w:eastAsia="Atkinson Hyperlegible" w:hAnsi="Atkinson Hyperlegible"/>
        </w:rPr>
        <w:t xml:space="preserve">Section 4. RULED; DERIVED; PREDICTED. The six readings the shape of the glass. Universal because the same sand and operator. Relative because a site’s position is its record history. The awareness that couples has no unit because it is the now. P-GLASS.1 — no variation of α across the record — frozen at lock on KS-GLASS.3.</w:t>
      </w:r>
    </w:p>
    <w:p>
      <w:pPr>
        <w:spacing w:after="160" w:before="0" w:line="300"/>
      </w:pPr>
      <w:r>
        <w:rPr>
          <w:rFonts w:ascii="Atkinson Hyperlegible" w:cs="Atkinson Hyperlegible" w:eastAsia="Atkinson Hyperlegible" w:hAnsi="Atkinson Hyperlegible"/>
        </w:rPr>
        <w:t xml:space="preserve">Section 5. DERIVED. Readable only once held. The neck’s grain has not held. Every reading through its aperture. So no site reads the grain in its own aperture now. The operator is the pupil. The pupil is the +1×ε.</w:t>
      </w:r>
    </w:p>
    <w:p>
      <w:pPr>
        <w:spacing w:after="160" w:before="0" w:line="300"/>
      </w:pPr>
      <w:r>
        <w:rPr>
          <w:rFonts w:ascii="Atkinson Hyperlegible" w:cs="Atkinson Hyperlegible" w:eastAsia="Atkinson Hyperlegible" w:hAnsi="Atkinson Hyperlegible"/>
        </w:rPr>
        <w:t xml:space="preserve">Section 6. DERIVED. The observer problem’s questions answered. Two sites, two operators, one awareness.</w:t>
      </w:r>
    </w:p>
    <w:p>
      <w:pPr>
        <w:spacing w:after="160" w:before="0" w:line="300"/>
      </w:pPr>
      <w:r>
        <w:rPr>
          <w:rFonts w:ascii="Atkinson Hyperlegible" w:cs="Atkinson Hyperlegible" w:eastAsia="Atkinson Hyperlegible" w:hAnsi="Atkinson Hyperlegible"/>
        </w:rPr>
        <w:t>Section 7. CLOSED by AP52. AP52 §0.8a ticks the targets. AP03 verified there.</w:t>
      </w:r>
    </w:p>
    <w:p>
      <w:pPr>
        <w:spacing w:after="160" w:before="0" w:line="300"/>
      </w:pPr>
      <w:r>
        <w:rPr>
          <w:rFonts w:ascii="Atkinson Hyperlegible" w:cs="Atkinson Hyperlegible" w:eastAsia="Atkinson Hyperlegible" w:hAnsi="Atkinson Hyperlegible"/>
        </w:rPr>
        <w:t>Sections 8–11. Plain words. Refusals. Dated notes. Three switches, armed at lock.</w:t>
      </w:r>
    </w:p>
    <w:p/>
    <w:p>
      <w:pPr>
        <w:pStyle w:val="Heading1"/>
        <w:spacing w:after="240" w:before="480"/>
      </w:pPr>
      <w:r>
        <w:t xml:space="preserve">Conditionality Footer</w:t>
      </w:r>
    </w:p>
    <w:p>
      <w:pPr>
        <w:spacing w:after="160" w:before="0" w:line="300"/>
      </w:pPr>
      <w:r>
        <w:rPr>
          <w:rFonts w:ascii="Atkinson Hyperlegible" w:cs="Atkinson Hyperlegible" w:eastAsia="Atkinson Hyperlegible" w:hAnsi="Atkinson Hyperlegible"/>
        </w:rPr>
        <w:t>Everything above is conditional on the axiom and its locked developments. It is exactly as strong as they are. If Dissolutions’ operator or its singular AS fall, §§1–2 fall. If KS-AP29.1 fires, or a second neck is shown, or the capacity to couple is shown to differ between sites, §2’s derivation of the one interior falls. The many operators stand. If KS-ID.1 fires, the claim itself falls. If AP50’s identity of the neck with the grain falls, §5’s third premise falls. If the +3 ruling is withdrawn, §5 falls. The switches are armed at lock, on the author’s word. There is no number to move.</w:t>
      </w:r>
    </w:p>
    <w:p>
      <w:pPr>
        <w:spacing w:after="160" w:before="0" w:line="300"/>
      </w:pPr>
      <w:r>
        <w:rPr>
          <w:rFonts w:ascii="Atkinson Hyperlegible" w:cs="Atkinson Hyperlegible" w:eastAsia="Atkinson Hyperlegible" w:hAnsi="Atkinson Hyperlegible"/>
          <w:b w:val="false"/>
          <w:bCs w:val="false"/>
          <w:i/>
          <w:iCs/>
        </w:rPr>
        <w:t>Dependencies. Ø Dissolutions (Chapters 4, 6, 11, 12; Appendix; SHA-256 c6e5cd72…). AP02 (SHA-256 9d3f1c1a…). The Structural Glossary 1.1. AP29 (awareness as the interior of record-writing; KS-AP29.1). AP20. KS-ID.1 / D-ID.1, paid here at the structural register; the topological formalisation remaining. AP43-D4, untouched. AP43 §9 (SHA-256 5eea804b…), verified. The ruling of 7 September 2026. AP01. AP25. AP10 §7. AP44. AP50. The Keys, Edition 01, Book 1, Chapter 8 (published January 2026; Internet Archive capture 20 January 2026; working copy SHA-256 b3b24316…).</w:t>
      </w:r>
    </w:p>
    <w:p>
      <w:pPr>
        <w:spacing w:after="160" w:before="0" w:line="300"/>
      </w:pPr>
      <w:r>
        <w:rPr>
          <w:rFonts w:ascii="Atkinson Hyperlegible" w:cs="Atkinson Hyperlegible" w:eastAsia="Atkinson Hyperlegible" w:hAnsi="Atkinson Hyperlegible"/>
          <w:b w:val="false"/>
          <w:bCs w:val="false"/>
          <w:i/>
          <w:iCs/>
        </w:rPr>
        <w:t xml:space="preserve">Dependents. AP52 Reading Relativity. The Interior. The ethic.</w:t>
      </w:r>
    </w:p>
    <w:p>
      <w:pPr>
        <w:spacing w:after="160" w:before="0" w:line="300"/>
      </w:pPr>
      <w:r>
        <w:rPr>
          <w:rFonts w:ascii="Atkinson Hyperlegible" w:cs="Atkinson Hyperlegible" w:eastAsia="Atkinson Hyperlegible" w:hAnsi="Atkinson Hyperlegible"/>
          <w:b w:val="false"/>
          <w:bCs w:val="false"/>
          <w:i/>
          <w:iCs/>
        </w:rPr>
        <w:t>Kill switches. KS-GLASS.1–3, armed at lock. KS-GLASS.3 carries P-GLASS.1, frozen at lock.</w:t>
      </w:r>
    </w:p>
    <w:p/>
    <w:p>
      <w:pPr>
        <w:pStyle w:val="Heading2"/>
        <w:spacing w:after="160" w:before="320"/>
      </w:pPr>
      <w:r>
        <w:t xml:space="preserve">Provenance</w:t>
      </w:r>
    </w:p>
    <w:p>
      <w:pPr>
        <w:spacing w:after="160" w:before="0" w:line="300"/>
      </w:pPr>
      <w:r>
        <w:rPr>
          <w:rFonts w:ascii="Atkinson Hyperlegible" w:cs="Atkinson Hyperlegible" w:eastAsia="Atkinson Hyperlegible" w:hAnsi="Atkinson Hyperlegible"/>
        </w:rPr>
        <w:t>Every claim, ruling and switch in this paper is the author’s. The picture is his, written in December 2025 and published at the420code.org in January 2026, where the Internet Archive holds it (The Keys, Edition 01, Book 1). He gave it to the desk on 8 September 2026, late night, after the neck was ruled the grain’s own aperture. It was read back row by row. He confirmed every row. He said of the pupil that it has been his reading for years. He ruled the term the same night, and supplied AP02 and Ø Dissolutions for the desk to verify against. The position ruling the same night. On 9 September he ruled that the operators are many and the awareness one. He described the interior as the inside of the hourglass, and awareness as the capacity to couple and the shared now. From that the desk wrote the structural derivation of §2. Four reviews of v0.5 were worked the same day. The desk’s own review pass after them. A third round of three reviews with AP52 the same day. A fourth, the Kimi audit. On the second walk he ruled the now as the moment reading and writing are done from. A fifth round of five reviews was worked on 10 September, narrowly, at his instruction. His rulings of 11 September 2026 were given in the chat and are recorded in the instrument beside this paper. Re-voiced in the register of the Rosin Ø Proofs on 9 September at his instruction, and again in short sentences the same day. Content unchanged. Every intermediate retained. Locked in the wave of the four. The switches armed at lock. P-GLASS.1 frozen where the paper says.</w:t>
      </w:r>
    </w:p>
    <w:p/>
    <w:p>
      <w:pPr>
        <w:spacing w:after="160" w:before="0" w:line="300"/>
      </w:pPr>
      <w:r>
        <w:rPr>
          <w:rFonts w:ascii="Atkinson Hyperlegible" w:cs="Atkinson Hyperlegible" w:eastAsia="Atkinson Hyperlegible" w:hAnsi="Atkinson Hyperlegible"/>
          <w:b w:val="false"/>
          <w:bCs w:val="false"/>
          <w:i/>
          <w:iCs/>
        </w:rPr>
        <w:t>FINAL v1.0 — 11 September 2026 — locked in the wave of the four, at the author’s word.</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tkinson Hyperlegible" w:cs="Atkinson Hyperlegible" w:eastAsia="Atkinson Hyperlegible" w:hAnsi="Atkinson Hyperlegible"/>
      <w:b/>
      <w:bCs/>
      <w:sz w:val="32"/>
      <w:szCs w:val="32"/>
    </w:rPr>
  </w:style>
  <w:style w:type="paragraph" w:styleId="Heading2">
    <w:name w:val="Heading 2"/>
    <w:basedOn w:val="Normal"/>
    <w:next w:val="Normal"/>
    <w:qFormat/>
    <w:pPr>
      <w:spacing w:after="160" w:before="320"/>
      <w:outlineLvl w:val="1"/>
    </w:pPr>
    <w:rPr>
      <w:rFonts w:ascii="Atkinson Hyperlegible" w:cs="Atkinson Hyperlegible" w:eastAsia="Atkinson Hyperlegible" w:hAnsi="Atkinson Hyperlegible"/>
      <w:b/>
      <w:bCs/>
      <w:sz w:val="26"/>
      <w:szCs w:val="26"/>
    </w:rPr>
  </w:style>
  <w:style w:type="paragraph" w:styleId="Heading3">
    <w:name w:val="Heading 3"/>
    <w:basedOn w:val="Normal"/>
    <w:next w:val="Normal"/>
    <w:qFormat/>
    <w:pPr>
      <w:spacing w:after="120" w:before="240"/>
      <w:outlineLvl w:val="2"/>
    </w:pPr>
    <w:rPr>
      <w:rFonts w:ascii="Atkinson Hyperlegible" w:cs="Atkinson Hyperlegible" w:eastAsia="Atkinson Hyperlegible" w:hAnsi="Atkinson Hyperlegible"/>
      <w:b/>
      <w:bCs/>
      <w:i/>
      <w:i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AP51 The Glass — FINAL v1.0</dc:title>
  <dc:creator>Studio G</dc:creator>
  <cp:lastModifiedBy>Studio G</cp:lastModifiedBy>
  <cp:revision>1</cp:revision>
  <dcterms:created xsi:type="dcterms:W3CDTF">2026-09-09T17:41:01.103Z</dcterms:created>
  <dcterms:modified xsi:type="dcterms:W3CDTF">2026-09-09T17:41:01.104Z</dcterms:modified>
  <dc:subject>The operator in the hourglass: the observer problem, dissolved. Notebook VII — The Operator Interface.</dc:subject>
  <cp:category>Artist's Proof</cp:category>
  <dc:description>The 420 Code. Copyleft 2026. the420code.org</dc:description>
</cp:coreProperties>
</file>

<file path=docProps/custom.xml><?xml version="1.0" encoding="utf-8"?>
<Properties xmlns="http://schemas.openxmlformats.org/officeDocument/2006/custom-properties" xmlns:vt="http://schemas.openxmlformats.org/officeDocument/2006/docPropsVTypes"/>
</file>