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pPr>
        <w:pStyle w:val="ListBullet"/>
      </w:pPr>
      <w:r>
        <w:t>Geraniol, may be found in the ingredient 'Parfum'.</w:t>
      </w:r>
    </w:p>
    <w:p>
      <w:pPr>
        <w:pStyle w:val="ListBullet"/>
      </w:pPr>
      <w:r>
        <w:t>Linalool, may be found in the ingredient 'Parfum'.</w:t>
      </w:r>
    </w:p>
    <w:p/>
    <w:p>
      <w:pPr>
        <w:pStyle w:val="Heading2"/>
      </w:pPr>
      <w:r>
        <w:t>2.2.2.2 Presence of CMR substances</w:t>
      </w:r>
    </w:p>
    <w:p>
      <w:r>
        <w:t>According to the information received from the manufacturers/suppliers, the cosmetic product does not contain intentionally added substances classified as CMR substances.</w:t>
      </w:r>
    </w:p>
    <w:p>
      <w:r>
        <w:t>Traces of heavy metals can be found in all the ingredients. Their amount is limited to 10 ppm max in each ingredient, except for Isopropyl isostearate, Cetearyl alcohol, Acacia Senegal gum/xanthan gum and Niacinamide (below 20ppm).</w:t>
      </w:r>
    </w:p>
    <w:p>
      <w:r>
        <w:t>According to the information received from the raw materials suppliers,</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r>
        <w:tc>
          <w:tcPr>
            <w:tcW w:type="dxa" w:w="1234"/>
          </w:tcPr>
          <w:p>
            <w:r>
              <w:t>100.00 91.9525 75.20</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The percentage of natural origin of the cosmetic product is 91.9525%, when including formulation water and respectively 75.20% when excluding formulation water.</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