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raw material 'Parfum'.</w:t>
      </w:r>
    </w:p>
    <w:p>
      <w:pPr>
        <w:pStyle w:val="ListBullet"/>
      </w:pPr>
      <w:r>
        <w:t>Linalool, may be found in the raw material 'Parfum'.</w:t>
      </w:r>
    </w:p>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Percentage in Cosmetic Product</w:t>
            </w:r>
          </w:p>
        </w:tc>
        <w:tc>
          <w:tcPr>
            <w:tcW w:type="dxa" w:w="1234"/>
          </w:tcPr>
          <w:p>
            <w:r>
              <w:t>Percentage Natural Origin (including water)</w:t>
            </w:r>
          </w:p>
        </w:tc>
        <w:tc>
          <w:tcPr>
            <w:tcW w:type="dxa" w:w="1234"/>
          </w:tcPr>
          <w:p>
            <w:r>
              <w:t>Percentage Natural Origin (excluding water)</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Cetostearyl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Dexpanthenol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