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labeling. The review of these raw materials/suppliers documentation has been used to support some of the claims made on this formula – see section 4. Table 1: Manufacturers used for the development | INCI Name | Commercial Name | Manufacturer (or Supplier) | |----------------------------------------------------|------------------------------------------|----------------------------| | 1,2-HEXANEDIOL | HYDROLITE 6 | SYMRISE | | ACACIA SENEGAL GUM, XANTHAN GUM | SOLAGUM AX | SEPPIC | | AQUA | PURIFIED WATER | - | | ARGANIA SPINOSA KERNEL OIL | ARGAN OIL DEODORIZED ORGANIC | ALDIVIA | | BEHENYL ALCOHOL | LANETTE 22 | BASF | | BUTYROSPERMUM PARKII BUTTER | SHEA BUTTER, REFINED | HENRY LAMOTTE | | CAPRYLIC/CAPRIC TRIGLYCERIDE | MIGLYOL 812 N | IOI OLEO | | CETEARYL ALCOHOL | KOLLIWAX CSA50 | BASF | | CITRIC ACID | CITRIC ACID ANHYDROUS FINE GRANULAR 16/40| CITRIQUE BELGE | | GLYCERIN | PALMERA G995 E | KLK OLEO | | GLYCERYL STEARATE CITRATE | IMWITOR 372P | IOI OLEO | | ISOPROPYL ISOSTEARATE | CRODAMOL IPIS-LQ-(MV) | CRODA | | NIACINAMIDE | NIACINAMIDE | DSM/LONZA | | PANTHENOL | D-PANTHENOL | DSM | | Parfum | Test Parfum | A2PH | | POLYGLYCERYL-6 DISTEARATE, JOJOBA ESTERS, POLYGLYCERYL-3 BEESWAX, CETYL ALCOHOL | EMULIUM MELLIFERA MB | GATTEFOSSE | | SQUALANE | NEOSSANCE SQUALANE | APRINNOVA | | TOCOPHERYL ACETATE | DL ALPHA TOCOPHERYL ACETATE | DSM | | XANTHAN GUM | KELTROL CG T | CP KELCO |</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The following allergens need to be declared: 2 Geraniol, may be found in the raw material Parfum. 2 Linalool, may be found in the raw material Parfum.</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 According to the information received from the raw materials suppliers, 2 50 ppm of Dichloromethane (classified as CMR 2) may be found in the ingredient Panthenol. The above-mentioned impurity is suitably controlled by the respective suppliers for all the ingredients and technically unavoidable. 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 Actual calculation results are provided in the figure hereafter: Figure 1: Natural origin percentage of the cosmetic product | Ingredient | Trade Name | Manufacturer/Supplier | Natural Origin Index | % in cosmetic product | % Natural origin | % Natural origin waterless | |---------------------------------------------|--------------------------------|----------------------------|----------------------|-----------------------|------------------|---------------------------| | 1,2-Hexanediol | Hydrolite 6 | Symrise | 0.00 | 2.75 | 0.00 | 0.00 | | Acacia Senegal Gum, Xanthan Gum | Solagum AX | Seppic | 1.00 | 0.40 | 0.40 | 1.23 | | Aqua | Purified Water | - | 1.00 | 67.54 | 67.54 | - | | Argania Spinosa Kernel Oil | Argan Oil Deodorized Organic | Aldivia | 1.00 | 0.20 | 0.20 | 0.62 | | Behenyl Alcohol | Lanette 22 | BASF | 1.00 | 0.50 | 0.50 | 1.54 | | Butyrospermum Parkii Butter | Shea Butter, Refined | Henry Lamotte | 1.00 | 2.50 | 2.50 | 7.70 | | Caprylic/Capric Triglyceride | Miglyol 812 N | IOI Oleo | 1.00 | 7.50 | 7.50 | 23.10 | | Cetearyl Alcohol | Kolliwax CSA50 | BASF | 1.00 | 2.00 | 2.00 | 6.16 | | Citric Acid | Citric Acid Anhydrous Fine Granular 16/40 | Citrique Belge | 1.00 | 0.0125 | 0.01 | 0.04 | | Glycerin | Palmera G995 E | KLK Oleo | 1.00 | 5.00 | 5.00 | 15.40 | | Glyceryl Stearate Citrate | Imwitor 372P | IOI Oleo | 1.00 | 0.50 | 0.50 | 1.54 | | Isopropyl Isostearate | Crodamol IPIS-LQ-(MV) | Croda | 0.85 | 2.00 | 1.70 | 5.24 | | Niacinamide | Niacinamide | DSM/Lonza | 0.00 | 2.00 | 0.00 | 0.00 | | Panthenol | D-Panthenol | DSM | 0.00 | 2.50 | 0.00 | 0.00 | | Parfum | Test Parfum | A2PH | 0.00 | 1.00 | 0.00 | 0.00 | | Polyglyceryl-6 Distearate, Jojoba Esters, Polyglyceryl-3 Beeswax, Cetyl Alcohol | Emulium Mellifera MB | Gattefosse | 1.00 | 3.00 | 3.00 | 9.24 | | Squalane | Neossance Squalane | Aprinnova | 1.00 | 1.00 | 1.00 | 3.08 | | Tocopheryl Acetate | DL Alpha Tocopheryl Acetate | DSM | 0.00 | 0.50 | 0.00 | 0.00 | | Xanthan Gum | Keltrol CG T | CP Kelco | 1.00 | 0.10 | 0.10 | 0.31 | 100.00 91.9525 75.20 The percentage of natural origin of the cosmetic product is of 91.9525%, when including formulation water and respectively 75.20% when excluding formulation water.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p>
      <w:r>
        <w:t>Signature Page for VV-REGQUAL-108834 v3.0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