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pPr>
        <w:pStyle w:val="ListBullet"/>
      </w:pPr>
      <w:r>
        <w:t>Geraniol, may be found in the raw material Parfum.</w:t>
      </w:r>
    </w:p>
    <w:p>
      <w:pPr>
        <w:pStyle w:val="ListBullet"/>
      </w:pPr>
      <w:r>
        <w:t>Linalool, may be found in the raw material Parfum.</w:t>
      </w:r>
    </w:p>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50 ppm of Dichloromethane (classified as CMR 2) may be found in the ingredient Panthenol.</w:t>
      </w:r>
    </w:p>
    <w:p/>
    <w:p>
      <w:r>
        <w:t>The above-mentioned impurity is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r>
        <w:t>100.00 91.9525 75.20</w:t>
      </w:r>
    </w:p>
    <w:p>
      <w:r>
        <w:t>The percentage of natural origin of the cosmetic product is of 91.9525%, when including formulation water and respectively 75.20% when excluding formulation water.</w:t>
      </w:r>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p>
      <w:r>
        <w:t>Signature Page for VV-REGQUAL-108834 v3.0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