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labeling. The review of these raw materials/suppliers documentation has been used to support some of the claims made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Ricinus communis seed oil</w:t>
            </w:r>
          </w:p>
        </w:tc>
        <w:tc>
          <w:tcPr>
            <w:tcW w:type="dxa" w:w="2880"/>
          </w:tcPr>
          <w:p>
            <w:r>
              <w:t>Ricinus Oil Test</w:t>
            </w:r>
          </w:p>
        </w:tc>
        <w:tc>
          <w:tcPr>
            <w:tcW w:type="dxa" w:w="2880"/>
          </w:tcPr>
          <w:p>
            <w:r>
              <w:t>IMCD</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2 ppm of Lead (classified as CMR 1A) may be found in the ingredient Aqua,</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 (or Supplier)</w:t>
            </w:r>
          </w:p>
        </w:tc>
        <w:tc>
          <w:tcPr>
            <w:tcW w:type="dxa" w:w="1234"/>
          </w:tcPr>
          <w:p>
            <w:r>
              <w:t>Natural Origin Index</w:t>
            </w:r>
          </w:p>
        </w:tc>
        <w:tc>
          <w:tcPr>
            <w:tcW w:type="dxa" w:w="1234"/>
          </w:tcPr>
          <w:p>
            <w:r>
              <w:t>% in cosmetic product 1614322</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p>
      <w:r>
        <w:t>Signature Page for VV-REGQUAL-108834 v3.0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