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This section outlines the raw materials and their manufacturers used in the product's development, emphasizing compliance with specifications and the impact on product quality, safety, and labeling. The information is presented in a narrative format followed by a structured table listing the INCI names, commercial names, and manufacturers. References to other sections and claims are included, adding a cross-referential element.</w:t>
      </w:r>
    </w:p>
    <w:p>
      <w:r>
        <w:t>Table 1: Manufacturers used for the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ProductID</w:t>
            </w:r>
          </w:p>
        </w:tc>
        <w:tc>
          <w:tcPr>
            <w:tcW w:type="dxa" w:w="1440"/>
          </w:tcPr>
          <w:p>
            <w:r>
              <w:t>ProductCode</w:t>
            </w:r>
          </w:p>
        </w:tc>
        <w:tc>
          <w:tcPr>
            <w:tcW w:type="dxa" w:w="1440"/>
          </w:tcPr>
          <w:p>
            <w:r>
              <w:t>INCI_Name</w:t>
            </w:r>
          </w:p>
        </w:tc>
        <w:tc>
          <w:tcPr>
            <w:tcW w:type="dxa" w:w="1440"/>
          </w:tcPr>
          <w:p>
            <w:r>
              <w:t>Trace Substance</w:t>
            </w:r>
          </w:p>
        </w:tc>
        <w:tc>
          <w:tcPr>
            <w:tcW w:type="dxa" w:w="1440"/>
          </w:tcPr>
          <w:p>
            <w:r>
              <w:t>Trace Limit</w:t>
            </w:r>
          </w:p>
        </w:tc>
        <w:tc>
          <w:tcPr>
            <w:tcW w:type="dxa" w:w="1440"/>
          </w:tcPr>
          <w:p>
            <w:r>
              <w:t>Classification</w:t>
            </w:r>
          </w:p>
        </w:tc>
      </w:tr>
      <w:tr>
        <w:tc>
          <w:tcPr>
            <w:tcW w:type="dxa" w:w="1440"/>
          </w:tcPr>
          <w:p>
            <w:r>
              <w:t>1</w:t>
            </w:r>
          </w:p>
        </w:tc>
        <w:tc>
          <w:tcPr>
            <w:tcW w:type="dxa" w:w="1440"/>
          </w:tcPr>
          <w:p>
            <w:r>
              <w:t>1614322</w:t>
            </w:r>
          </w:p>
        </w:tc>
        <w:tc>
          <w:tcPr>
            <w:tcW w:type="dxa" w:w="1440"/>
          </w:tcPr>
          <w:p>
            <w:r>
              <w:t>Panthenol</w:t>
            </w:r>
          </w:p>
        </w:tc>
        <w:tc>
          <w:tcPr>
            <w:tcW w:type="dxa" w:w="1440"/>
          </w:tcPr>
          <w:p>
            <w:r>
              <w:t>Dichloromethane</w:t>
            </w:r>
          </w:p>
        </w:tc>
        <w:tc>
          <w:tcPr>
            <w:tcW w:type="dxa" w:w="1440"/>
          </w:tcPr>
          <w:p>
            <w:r>
              <w:t>50.0000</w:t>
            </w:r>
          </w:p>
        </w:tc>
        <w:tc>
          <w:tcPr>
            <w:tcW w:type="dxa" w:w="1440"/>
          </w:tcPr>
          <w:p>
            <w:r>
              <w:t>CMR 2</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allergens 'Geraniol' and 'Linalool' were identified as associated with the raw material 'Parfum' and added to the raw material allergen list, ensuring compliance with the regulatory requirements.</w:t>
      </w:r>
    </w:p>
    <w:p>
      <w:r>
        <w:t>As a result, the allergens 'Geraniol' and 'Linalool' must be labeled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50 ppm of Dichloromethane (classified as CMR 2)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p>
      <w:r>
        <w:t>Signature Page for VV-REGQUAL-108834 v3.0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