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section outlines raw materials and their manufacturers, focusing on compliance with specifications and their influence on product quality and safety. It begins with a narrative introduction and transitions into a structured table listing INCI names, commercial names, and manufacturers. Cross-references to other sections and claims are included, adding relational depth to the content.</w:t>
      </w:r>
    </w:p>
    <w:p>
      <w:r>
        <w:t>Table 1: Manufacturers used for the development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ProductID</w:t>
            </w:r>
          </w:p>
        </w:tc>
        <w:tc>
          <w:tcPr>
            <w:tcW w:type="dxa" w:w="1440"/>
          </w:tcPr>
          <w:p>
            <w:r>
              <w:t>ProductCode</w:t>
            </w:r>
          </w:p>
        </w:tc>
        <w:tc>
          <w:tcPr>
            <w:tcW w:type="dxa" w:w="1440"/>
          </w:tcPr>
          <w:p>
            <w:r>
              <w:t>INCI_Name</w:t>
            </w:r>
          </w:p>
        </w:tc>
        <w:tc>
          <w:tcPr>
            <w:tcW w:type="dxa" w:w="1440"/>
          </w:tcPr>
          <w:p>
            <w:r>
              <w:t>Trace Substance</w:t>
            </w:r>
          </w:p>
        </w:tc>
        <w:tc>
          <w:tcPr>
            <w:tcW w:type="dxa" w:w="1440"/>
          </w:tcPr>
          <w:p>
            <w:r>
              <w:t>Trace Limit</w:t>
            </w:r>
          </w:p>
        </w:tc>
        <w:tc>
          <w:tcPr>
            <w:tcW w:type="dxa" w:w="1440"/>
          </w:tcPr>
          <w:p>
            <w:r>
              <w:t>Classification</w:t>
            </w:r>
          </w:p>
        </w:tc>
      </w:tr>
      <w:tr>
        <w:tc>
          <w:tcPr>
            <w:tcW w:type="dxa" w:w="1440"/>
          </w:tcPr>
          <w:p>
            <w:r>
              <w:t>1</w:t>
            </w:r>
          </w:p>
        </w:tc>
        <w:tc>
          <w:tcPr>
            <w:tcW w:type="dxa" w:w="1440"/>
          </w:tcPr>
          <w:p>
            <w:r>
              <w:t>1614322</w:t>
            </w:r>
          </w:p>
        </w:tc>
        <w:tc>
          <w:tcPr>
            <w:tcW w:type="dxa" w:w="1440"/>
          </w:tcPr>
          <w:p>
            <w:r>
              <w:t>Panthenol</w:t>
            </w:r>
          </w:p>
        </w:tc>
        <w:tc>
          <w:tcPr>
            <w:tcW w:type="dxa" w:w="1440"/>
          </w:tcPr>
          <w:p>
            <w:r>
              <w:t>Dichloromethane</w:t>
            </w:r>
          </w:p>
        </w:tc>
        <w:tc>
          <w:tcPr>
            <w:tcW w:type="dxa" w:w="1440"/>
          </w:tcPr>
          <w:p>
            <w:r>
              <w:t>50.0000</w:t>
            </w:r>
          </w:p>
        </w:tc>
        <w:tc>
          <w:tcPr>
            <w:tcW w:type="dxa" w:w="1440"/>
          </w:tcPr>
          <w:p>
            <w:r>
              <w:t>CMR 2</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Following this evaluation, it was confirmed that the allergens 'Geraniol' and 'Linalool' were identified as associated with the raw material 'Parfum' and added to the raw material allergen list, ensuring compliance with the regulatory requirements.</w:t>
      </w:r>
    </w:p>
    <w:p>
      <w:r>
        <w:t>As a result, the allergens 'Geraniol' and 'Linalool' must be labeled for this cosmetic product.</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50 ppm of Dichloromethane (classified as CMR 2) may be found in the ingredient Panthenol.</w:t>
      </w:r>
    </w:p>
    <w:p/>
    <w:p>
      <w:r>
        <w:t>The above-mentioned impurities are suitably controlled by the respective suppliers for all the ingredients and are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Ricinus Communis Seed Oil</w:t>
            </w:r>
          </w:p>
        </w:tc>
        <w:tc>
          <w:tcPr>
            <w:tcW w:type="dxa" w:w="1234"/>
          </w:tcPr>
          <w:p>
            <w:r>
              <w:t>Ricinus Oil Test</w:t>
            </w:r>
          </w:p>
        </w:tc>
        <w:tc>
          <w:tcPr>
            <w:tcW w:type="dxa" w:w="1234"/>
          </w:tcPr>
          <w:p>
            <w:r>
              <w:t>IMCD</w:t>
            </w:r>
          </w:p>
        </w:tc>
        <w:tc>
          <w:tcPr>
            <w:tcW w:type="dxa" w:w="1234"/>
          </w:tcPr>
          <w:p>
            <w:r>
              <w:t>1.00</w:t>
            </w:r>
          </w:p>
        </w:tc>
        <w:tc>
          <w:tcPr>
            <w:tcW w:type="dxa" w:w="1234"/>
          </w:tcPr>
          <w:p>
            <w:r>
              <w:t>1.50</w:t>
            </w:r>
          </w:p>
        </w:tc>
        <w:tc>
          <w:tcPr>
            <w:tcW w:type="dxa" w:w="1234"/>
          </w:tcPr>
          <w:p>
            <w:r>
              <w:t>1.50</w:t>
            </w:r>
          </w:p>
        </w:tc>
        <w:tc>
          <w:tcPr>
            <w:tcW w:type="dxa" w:w="1234"/>
          </w:tcPr>
          <w:p>
            <w:r>
              <w:t>4.62</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p>
      <w:r>
        <w:t>Signature Page for VV-REGQUAL-108834 v3.0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