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provides details on raw materials and their manufacturers, emphasizing compliance with specifications and their impact on product quality and safety. It combines a narrative introduction with a structured table listing INCI names, commercial names, and manufacturers, and includes cross-references to other sections and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p>
      <w:r>
        <w:t>Review and Provide Annotations</w:t>
      </w:r>
    </w:p>
    <w:p>
      <w:r>
        <w:t>Ramona Ana Munteanu Technical Regulatory 24-Mar-2022 10:12:38</w:t>
      </w:r>
    </w:p>
    <w:p>
      <w:r>
        <w:t>GMT+0000</w:t>
      </w:r>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Approval Task</w:t>
      </w:r>
    </w:p>
    <w:p>
      <w:r>
        <w:t>Sandrine Mourey</w:t>
      </w:r>
    </w:p>
    <w:p>
      <w:r>
        <w:t>Technical Regulatory</w:t>
      </w:r>
    </w:p>
    <w:p>
      <w:r>
        <w:t>24-Mar-2022 17:01:03 GMT+0000</w:t>
      </w:r>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