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section provides a detailed list of raw materials used in a formula, including their INCI names, commercial names, and manufacturers, presented in a structured table format. It starts with a narrative introduction discussing compliance and product quality, and includes cross-references to other sections and claims.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ProductID</w:t>
            </w:r>
          </w:p>
        </w:tc>
        <w:tc>
          <w:tcPr>
            <w:tcW w:type="dxa" w:w="1440"/>
          </w:tcPr>
          <w:p>
            <w:r>
              <w:t>ProductCode</w:t>
            </w:r>
          </w:p>
        </w:tc>
        <w:tc>
          <w:tcPr>
            <w:tcW w:type="dxa" w:w="1440"/>
          </w:tcPr>
          <w:p>
            <w:r>
              <w:t>INCI_Name</w:t>
            </w:r>
          </w:p>
        </w:tc>
        <w:tc>
          <w:tcPr>
            <w:tcW w:type="dxa" w:w="1440"/>
          </w:tcPr>
          <w:p>
            <w:r>
              <w:t>Trace Substance</w:t>
            </w:r>
          </w:p>
        </w:tc>
        <w:tc>
          <w:tcPr>
            <w:tcW w:type="dxa" w:w="1440"/>
          </w:tcPr>
          <w:p>
            <w:r>
              <w:t>Trace Limit</w:t>
            </w:r>
          </w:p>
        </w:tc>
        <w:tc>
          <w:tcPr>
            <w:tcW w:type="dxa" w:w="1440"/>
          </w:tcPr>
          <w:p>
            <w:r>
              <w:t>Classification</w:t>
            </w:r>
          </w:p>
        </w:tc>
      </w:tr>
      <w:tr>
        <w:tc>
          <w:tcPr>
            <w:tcW w:type="dxa" w:w="1440"/>
          </w:tcPr>
          <w:p>
            <w:r>
              <w:t>1</w:t>
            </w:r>
          </w:p>
        </w:tc>
        <w:tc>
          <w:tcPr>
            <w:tcW w:type="dxa" w:w="1440"/>
          </w:tcPr>
          <w:p>
            <w:r>
              <w:t>1614322</w:t>
            </w:r>
          </w:p>
        </w:tc>
        <w:tc>
          <w:tcPr>
            <w:tcW w:type="dxa" w:w="1440"/>
          </w:tcPr>
          <w:p>
            <w:r>
              <w:t>Panthenol</w:t>
            </w:r>
          </w:p>
        </w:tc>
        <w:tc>
          <w:tcPr>
            <w:tcW w:type="dxa" w:w="1440"/>
          </w:tcPr>
          <w:p>
            <w:r>
              <w:t>Dichloromethane</w:t>
            </w:r>
          </w:p>
        </w:tc>
        <w:tc>
          <w:tcPr>
            <w:tcW w:type="dxa" w:w="1440"/>
          </w:tcPr>
          <w:p>
            <w:r>
              <w:t>50.0000</w:t>
            </w:r>
          </w:p>
        </w:tc>
        <w:tc>
          <w:tcPr>
            <w:tcW w:type="dxa" w:w="1440"/>
          </w:tcPr>
          <w:p>
            <w:r>
              <w:t>CMR 2</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allergens 'Geraniol' and 'Linalool' were identified as associated with the raw material 'Parfum' and added to the raw material allergen list, ensuring compliance with the regulatory requirements.</w:t>
      </w:r>
    </w:p>
    <w:p>
      <w:r>
        <w:t>As a result, the allergens 'Geraniol' and 'Linalool' must be labeled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100.00 91.9525 74.89</w:t>
      </w:r>
    </w:p>
    <w:p>
      <w:r>
        <w:t>The percentage of natural origin of the cosmetic product is 91.9525, when including formulation water and respectively 74.89 when excluding formulation water.</w:t>
      </w:r>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