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 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65.04</w:t>
            </w:r>
          </w:p>
        </w:tc>
        <w:tc>
          <w:tcPr>
            <w:tcW w:type="dxa" w:w="1234"/>
          </w:tcPr>
          <w:p>
            <w:r>
              <w:t>65.04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10.00</w:t>
            </w:r>
          </w:p>
        </w:tc>
        <w:tc>
          <w:tcPr>
            <w:tcW w:type="dxa" w:w="1234"/>
          </w:tcPr>
          <w:p>
            <w:r>
              <w:t>10.00</w:t>
            </w:r>
          </w:p>
        </w:tc>
        <w:tc>
          <w:tcPr>
            <w:tcW w:type="dxa" w:w="1234"/>
          </w:tcPr>
          <w:p>
            <w:r>
              <w:t>30.80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100.00 91.9525 75.20</w:t>
      </w:r>
    </w:p>
    <w:p>
      <w:r>
        <w:t>The percentage of natural origin of the cosmetic product is 91.9525%, when including formulation water, and respectively 75.20%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