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b/>
          <w:color w:val="1F4D78"/>
          <w:sz w:val="40"/>
        </w:rPr>
        <w:t>Supplementary Appendix A: source-verified parameter table</w:t>
      </w:r>
    </w:p>
    <w:p>
      <w:r>
        <w:rPr>
          <w:rFonts w:ascii="Calibri" w:hAnsi="Calibri"/>
          <w:sz w:val="22"/>
        </w:rPr>
        <w:t xml:space="preserve">MIDox implementation of the ALMaSS </w:t>
      </w:r>
      <w:r>
        <w:rPr>
          <w:rFonts w:ascii="Calibri" w:hAnsi="Calibri"/>
          <w:i/>
          <w:sz w:val="22"/>
        </w:rPr>
        <w:t>Osmia bicornis</w:t>
      </w:r>
      <w:r>
        <w:rPr>
          <w:rFonts w:ascii="Calibri" w:hAnsi="Calibri"/>
          <w:sz w:val="22"/>
        </w:rPr>
        <w:t xml:space="preserve"> model</w:t>
      </w:r>
    </w:p>
    <w:p>
      <w:r>
        <w:rPr>
          <w:rFonts w:ascii="Calibri" w:hAnsi="Calibri"/>
          <w:sz w:val="22"/>
        </w:rPr>
        <w:t>Christopher J. Topping, Elżbieta Ziółkowska and Xiaodong Duan</w:t>
      </w:r>
    </w:p>
    <w:p>
      <w:pPr>
        <w:pStyle w:val="Heading1"/>
      </w:pPr>
      <w:r>
        <w:t>A.1 Scope and authority</w:t>
      </w:r>
    </w:p>
    <w:p>
      <w:r>
        <w:rPr>
          <w:rFonts w:ascii="Calibri" w:hAnsi="Calibri"/>
          <w:sz w:val="22"/>
        </w:rPr>
        <w:t>This appendix lists every configuration declaration in the verified post-calibration implementation. The compiled declaration defaults are the documented baseline. Configuration files can override these values for particular runs, but no separate calibrated configuration file defines the implementation described here. Calibration material is used only to identify the provenance of fitted values.</w:t>
      </w:r>
    </w:p>
    <w:p>
      <w:r>
        <w:rPr>
          <w:rFonts w:ascii="Calibri" w:hAnsi="Calibri"/>
          <w:sz w:val="22"/>
        </w:rPr>
        <w:t>The inventory contains 100 unique configuration keys. Fifteen declaration defaults differ from the Formal Model comparator and 85 are unchanged. Provenance and implementation status are separate: a fitted value may be unchanged from the Formal Model, while a declared setting may have no effect on current behaviour.</w:t>
      </w:r>
    </w:p>
    <w:p>
      <w:pPr>
        <w:pStyle w:val="Heading1"/>
      </w:pPr>
      <w:r>
        <w:t>A.2 Reconciliation summary</w:t>
      </w:r>
    </w:p>
    <w:tbl>
      <w:tblPr>
        <w:tblStyle w:val="TableGrid"/>
        <w:tblW w:type="dxa" w:w="18000"/>
        <w:jc w:val="left"/>
        <w:tblLayout w:type="fixed"/>
        <w:tblLook w:firstColumn="1" w:firstRow="1" w:lastColumn="0" w:lastRow="0" w:noHBand="0" w:noVBand="1" w:val="04A0"/>
        <w:tblInd w:w="120" w:type="dxa"/>
      </w:tblPr>
      <w:tblGrid>
        <w:gridCol w:w="2700"/>
        <w:gridCol w:w="15300"/>
      </w:tblGrid>
      <w:tr>
        <w:trPr>
          <w:tblHeader w:val="true"/>
        </w:trPr>
        <w:tc>
          <w:tcPr>
            <w:tcW w:type="dxa" w:w="2700"/>
            <w:shd w:fill="E8EEF5"/>
            <w:vAlign w:val="center"/>
            <w:tcMar>
              <w:top w:w="70" w:type="dxa"/>
              <w:bottom w:w="70" w:type="dxa"/>
              <w:start w:w="100" w:type="dxa"/>
              <w:end w:w="100" w:type="dxa"/>
            </w:tcMar>
          </w:tcPr>
          <w:p>
            <w:pPr>
              <w:jc w:val="center"/>
            </w:pPr>
            <w:r>
              <w:rPr>
                <w:rFonts w:ascii="Calibri" w:hAnsi="Calibri"/>
                <w:b/>
                <w:color w:val="1F4D78"/>
                <w:sz w:val="16"/>
              </w:rPr>
              <w:t>Check</w:t>
            </w:r>
          </w:p>
        </w:tc>
        <w:tc>
          <w:tcPr>
            <w:tcW w:type="dxa" w:w="15300"/>
            <w:shd w:fill="E8EEF5"/>
            <w:vAlign w:val="center"/>
            <w:tcMar>
              <w:top w:w="70" w:type="dxa"/>
              <w:bottom w:w="70" w:type="dxa"/>
              <w:start w:w="100" w:type="dxa"/>
              <w:end w:w="100" w:type="dxa"/>
            </w:tcMar>
          </w:tcPr>
          <w:p>
            <w:pPr>
              <w:jc w:val="center"/>
            </w:pPr>
            <w:r>
              <w:rPr>
                <w:rFonts w:ascii="Calibri" w:hAnsi="Calibri"/>
                <w:b/>
                <w:color w:val="1F4D78"/>
                <w:sz w:val="16"/>
              </w:rPr>
              <w:t>Result</w:t>
            </w:r>
          </w:p>
        </w:tc>
      </w:tr>
      <w:tr>
        <w:tc>
          <w:tcPr>
            <w:tcW w:type="dxa" w:w="2700"/>
            <w:vAlign w:val="center"/>
            <w:tcMar>
              <w:top w:w="70" w:type="dxa"/>
              <w:bottom w:w="70" w:type="dxa"/>
              <w:start w:w="100" w:type="dxa"/>
              <w:end w:w="100" w:type="dxa"/>
            </w:tcMar>
          </w:tcPr>
          <w:p>
            <w:pPr>
              <w:spacing w:before="0" w:after="0" w:line="240" w:lineRule="auto"/>
              <w:jc w:val="left"/>
            </w:pPr>
            <w:r>
              <w:rPr>
                <w:rFonts w:ascii="Calibri" w:hAnsi="Calibri"/>
                <w:sz w:val="14"/>
              </w:rPr>
              <w:t>Source declarations</w:t>
            </w:r>
          </w:p>
        </w:tc>
        <w:tc>
          <w:tcPr>
            <w:tcW w:type="dxa" w:w="15300"/>
            <w:vAlign w:val="center"/>
            <w:tcMar>
              <w:top w:w="70" w:type="dxa"/>
              <w:bottom w:w="70" w:type="dxa"/>
              <w:start w:w="100" w:type="dxa"/>
              <w:end w:w="100" w:type="dxa"/>
            </w:tcMar>
          </w:tcPr>
          <w:p>
            <w:pPr>
              <w:spacing w:before="0" w:after="0" w:line="240" w:lineRule="auto"/>
              <w:jc w:val="left"/>
            </w:pPr>
            <w:r>
              <w:rPr>
                <w:rFonts w:ascii="Calibri" w:hAnsi="Calibri"/>
                <w:sz w:val="14"/>
              </w:rPr>
              <w:t>100</w:t>
            </w:r>
          </w:p>
        </w:tc>
      </w:tr>
      <w:tr>
        <w:tc>
          <w:tcPr>
            <w:tcW w:type="dxa" w:w="2700"/>
            <w:vAlign w:val="center"/>
            <w:tcMar>
              <w:top w:w="70" w:type="dxa"/>
              <w:bottom w:w="70" w:type="dxa"/>
              <w:start w:w="100" w:type="dxa"/>
              <w:end w:w="100" w:type="dxa"/>
            </w:tcMar>
          </w:tcPr>
          <w:p>
            <w:pPr>
              <w:spacing w:before="0" w:after="0" w:line="240" w:lineRule="auto"/>
              <w:jc w:val="left"/>
            </w:pPr>
            <w:r>
              <w:rPr>
                <w:rFonts w:ascii="Calibri" w:hAnsi="Calibri"/>
                <w:sz w:val="14"/>
              </w:rPr>
              <w:t>Appendix rows</w:t>
            </w:r>
          </w:p>
        </w:tc>
        <w:tc>
          <w:tcPr>
            <w:tcW w:type="dxa" w:w="15300"/>
            <w:vAlign w:val="center"/>
            <w:tcMar>
              <w:top w:w="70" w:type="dxa"/>
              <w:bottom w:w="70" w:type="dxa"/>
              <w:start w:w="100" w:type="dxa"/>
              <w:end w:w="100" w:type="dxa"/>
            </w:tcMar>
          </w:tcPr>
          <w:p>
            <w:pPr>
              <w:spacing w:before="0" w:after="0" w:line="240" w:lineRule="auto"/>
              <w:jc w:val="left"/>
            </w:pPr>
            <w:r>
              <w:rPr>
                <w:rFonts w:ascii="Calibri" w:hAnsi="Calibri"/>
                <w:sz w:val="14"/>
              </w:rPr>
              <w:t>100</w:t>
            </w:r>
          </w:p>
        </w:tc>
      </w:tr>
      <w:tr>
        <w:tc>
          <w:tcPr>
            <w:tcW w:type="dxa" w:w="2700"/>
            <w:vAlign w:val="center"/>
            <w:tcMar>
              <w:top w:w="70" w:type="dxa"/>
              <w:bottom w:w="70" w:type="dxa"/>
              <w:start w:w="100" w:type="dxa"/>
              <w:end w:w="100" w:type="dxa"/>
            </w:tcMar>
          </w:tcPr>
          <w:p>
            <w:pPr>
              <w:spacing w:before="0" w:after="0" w:line="240" w:lineRule="auto"/>
              <w:jc w:val="left"/>
            </w:pPr>
            <w:r>
              <w:rPr>
                <w:rFonts w:ascii="Calibri" w:hAnsi="Calibri"/>
                <w:sz w:val="14"/>
              </w:rPr>
              <w:t>Formal Model differences</w:t>
            </w:r>
          </w:p>
        </w:tc>
        <w:tc>
          <w:tcPr>
            <w:tcW w:type="dxa" w:w="15300"/>
            <w:vAlign w:val="center"/>
            <w:tcMar>
              <w:top w:w="70" w:type="dxa"/>
              <w:bottom w:w="70" w:type="dxa"/>
              <w:start w:w="100" w:type="dxa"/>
              <w:end w:w="100" w:type="dxa"/>
            </w:tcMar>
          </w:tcPr>
          <w:p>
            <w:pPr>
              <w:spacing w:before="0" w:after="0" w:line="240" w:lineRule="auto"/>
              <w:jc w:val="left"/>
            </w:pPr>
            <w:r>
              <w:rPr>
                <w:rFonts w:ascii="Calibri" w:hAnsi="Calibri"/>
                <w:sz w:val="14"/>
              </w:rPr>
              <w:t>15</w:t>
            </w:r>
          </w:p>
        </w:tc>
      </w:tr>
      <w:tr>
        <w:tc>
          <w:tcPr>
            <w:tcW w:type="dxa" w:w="2700"/>
            <w:vAlign w:val="center"/>
            <w:tcMar>
              <w:top w:w="70" w:type="dxa"/>
              <w:bottom w:w="70" w:type="dxa"/>
              <w:start w:w="100" w:type="dxa"/>
              <w:end w:w="100" w:type="dxa"/>
            </w:tcMar>
          </w:tcPr>
          <w:p>
            <w:pPr>
              <w:spacing w:before="0" w:after="0" w:line="240" w:lineRule="auto"/>
              <w:jc w:val="left"/>
            </w:pPr>
            <w:r>
              <w:rPr>
                <w:rFonts w:ascii="Calibri" w:hAnsi="Calibri"/>
                <w:sz w:val="14"/>
              </w:rPr>
              <w:t>Unchanged from Formal Model</w:t>
            </w:r>
          </w:p>
        </w:tc>
        <w:tc>
          <w:tcPr>
            <w:tcW w:type="dxa" w:w="15300"/>
            <w:vAlign w:val="center"/>
            <w:tcMar>
              <w:top w:w="70" w:type="dxa"/>
              <w:bottom w:w="70" w:type="dxa"/>
              <w:start w:w="100" w:type="dxa"/>
              <w:end w:w="100" w:type="dxa"/>
            </w:tcMar>
          </w:tcPr>
          <w:p>
            <w:pPr>
              <w:spacing w:before="0" w:after="0" w:line="240" w:lineRule="auto"/>
              <w:jc w:val="left"/>
            </w:pPr>
            <w:r>
              <w:rPr>
                <w:rFonts w:ascii="Calibri" w:hAnsi="Calibri"/>
                <w:sz w:val="14"/>
              </w:rPr>
              <w:t>85</w:t>
            </w:r>
          </w:p>
        </w:tc>
      </w:tr>
      <w:tr>
        <w:tc>
          <w:tcPr>
            <w:tcW w:type="dxa" w:w="2700"/>
            <w:vAlign w:val="center"/>
            <w:tcMar>
              <w:top w:w="70" w:type="dxa"/>
              <w:bottom w:w="70" w:type="dxa"/>
              <w:start w:w="100" w:type="dxa"/>
              <w:end w:w="100" w:type="dxa"/>
            </w:tcMar>
          </w:tcPr>
          <w:p>
            <w:pPr>
              <w:spacing w:before="0" w:after="0" w:line="240" w:lineRule="auto"/>
              <w:jc w:val="left"/>
            </w:pPr>
            <w:r>
              <w:rPr>
                <w:rFonts w:ascii="Calibri" w:hAnsi="Calibri"/>
                <w:sz w:val="14"/>
              </w:rPr>
              <w:t>Active settings</w:t>
            </w:r>
          </w:p>
        </w:tc>
        <w:tc>
          <w:tcPr>
            <w:tcW w:type="dxa" w:w="15300"/>
            <w:vAlign w:val="center"/>
            <w:tcMar>
              <w:top w:w="70" w:type="dxa"/>
              <w:bottom w:w="70" w:type="dxa"/>
              <w:start w:w="100" w:type="dxa"/>
              <w:end w:w="100" w:type="dxa"/>
            </w:tcMar>
          </w:tcPr>
          <w:p>
            <w:pPr>
              <w:spacing w:before="0" w:after="0" w:line="240" w:lineRule="auto"/>
              <w:jc w:val="left"/>
            </w:pPr>
            <w:r>
              <w:rPr>
                <w:rFonts w:ascii="Calibri" w:hAnsi="Calibri"/>
                <w:sz w:val="14"/>
              </w:rPr>
              <w:t>72</w:t>
            </w:r>
          </w:p>
        </w:tc>
      </w:tr>
      <w:tr>
        <w:tc>
          <w:tcPr>
            <w:tcW w:type="dxa" w:w="2700"/>
            <w:vAlign w:val="center"/>
            <w:tcMar>
              <w:top w:w="70" w:type="dxa"/>
              <w:bottom w:w="70" w:type="dxa"/>
              <w:start w:w="100" w:type="dxa"/>
              <w:end w:w="100" w:type="dxa"/>
            </w:tcMar>
          </w:tcPr>
          <w:p>
            <w:pPr>
              <w:spacing w:before="0" w:after="0" w:line="240" w:lineRule="auto"/>
              <w:jc w:val="left"/>
            </w:pPr>
            <w:r>
              <w:rPr>
                <w:rFonts w:ascii="Calibri" w:hAnsi="Calibri"/>
                <w:sz w:val="14"/>
              </w:rPr>
              <w:t>Conditional settings</w:t>
            </w:r>
          </w:p>
        </w:tc>
        <w:tc>
          <w:tcPr>
            <w:tcW w:type="dxa" w:w="15300"/>
            <w:vAlign w:val="center"/>
            <w:tcMar>
              <w:top w:w="70" w:type="dxa"/>
              <w:bottom w:w="70" w:type="dxa"/>
              <w:start w:w="100" w:type="dxa"/>
              <w:end w:w="100" w:type="dxa"/>
            </w:tcMar>
          </w:tcPr>
          <w:p>
            <w:pPr>
              <w:spacing w:before="0" w:after="0" w:line="240" w:lineRule="auto"/>
              <w:jc w:val="left"/>
            </w:pPr>
            <w:r>
              <w:rPr>
                <w:rFonts w:ascii="Calibri" w:hAnsi="Calibri"/>
                <w:sz w:val="14"/>
              </w:rPr>
              <w:t>20</w:t>
            </w:r>
          </w:p>
        </w:tc>
      </w:tr>
      <w:tr>
        <w:tc>
          <w:tcPr>
            <w:tcW w:type="dxa" w:w="2700"/>
            <w:vAlign w:val="center"/>
            <w:tcMar>
              <w:top w:w="70" w:type="dxa"/>
              <w:bottom w:w="70" w:type="dxa"/>
              <w:start w:w="100" w:type="dxa"/>
              <w:end w:w="100" w:type="dxa"/>
            </w:tcMar>
          </w:tcPr>
          <w:p>
            <w:pPr>
              <w:spacing w:before="0" w:after="0" w:line="240" w:lineRule="auto"/>
              <w:jc w:val="left"/>
            </w:pPr>
            <w:r>
              <w:rPr>
                <w:rFonts w:ascii="Calibri" w:hAnsi="Calibri"/>
                <w:sz w:val="14"/>
              </w:rPr>
              <w:t>Settings with no effect on current behaviour</w:t>
            </w:r>
          </w:p>
        </w:tc>
        <w:tc>
          <w:tcPr>
            <w:tcW w:type="dxa" w:w="15300"/>
            <w:vAlign w:val="center"/>
            <w:tcMar>
              <w:top w:w="70" w:type="dxa"/>
              <w:bottom w:w="70" w:type="dxa"/>
              <w:start w:w="100" w:type="dxa"/>
              <w:end w:w="100" w:type="dxa"/>
            </w:tcMar>
          </w:tcPr>
          <w:p>
            <w:pPr>
              <w:spacing w:before="0" w:after="0" w:line="240" w:lineRule="auto"/>
              <w:jc w:val="left"/>
            </w:pPr>
            <w:r>
              <w:rPr>
                <w:rFonts w:ascii="Calibri" w:hAnsi="Calibri"/>
                <w:sz w:val="14"/>
              </w:rPr>
              <w:t>8</w:t>
            </w:r>
          </w:p>
        </w:tc>
      </w:tr>
      <w:tr>
        <w:tc>
          <w:tcPr>
            <w:tcW w:type="dxa" w:w="2700"/>
            <w:vAlign w:val="center"/>
            <w:tcMar>
              <w:top w:w="70" w:type="dxa"/>
              <w:bottom w:w="70" w:type="dxa"/>
              <w:start w:w="100" w:type="dxa"/>
              <w:end w:w="100" w:type="dxa"/>
            </w:tcMar>
          </w:tcPr>
          <w:p>
            <w:pPr>
              <w:spacing w:before="0" w:after="0" w:line="240" w:lineRule="auto"/>
              <w:jc w:val="left"/>
            </w:pPr>
            <w:r>
              <w:rPr>
                <w:rFonts w:ascii="Calibri" w:hAnsi="Calibri"/>
                <w:sz w:val="14"/>
              </w:rPr>
              <w:t>Parameters without a defensible range</w:t>
            </w:r>
          </w:p>
        </w:tc>
        <w:tc>
          <w:tcPr>
            <w:tcW w:type="dxa" w:w="15300"/>
            <w:vAlign w:val="center"/>
            <w:tcMar>
              <w:top w:w="70" w:type="dxa"/>
              <w:bottom w:w="70" w:type="dxa"/>
              <w:start w:w="100" w:type="dxa"/>
              <w:end w:w="100" w:type="dxa"/>
            </w:tcMar>
          </w:tcPr>
          <w:p>
            <w:pPr>
              <w:spacing w:before="0" w:after="0" w:line="240" w:lineRule="auto"/>
              <w:jc w:val="left"/>
            </w:pPr>
            <w:r>
              <w:rPr>
                <w:rFonts w:ascii="Calibri" w:hAnsi="Calibri"/>
                <w:sz w:val="14"/>
              </w:rPr>
              <w:t>95</w:t>
            </w:r>
          </w:p>
        </w:tc>
      </w:tr>
    </w:tbl>
    <w:p>
      <w:pPr>
        <w:spacing w:before="80" w:after="80"/>
      </w:pPr>
    </w:p>
    <w:p>
      <w:r>
        <w:rPr>
          <w:rFonts w:ascii="Calibri" w:hAnsi="Calibri"/>
          <w:sz w:val="22"/>
        </w:rPr>
        <w:t>Conditional includes settings whose effect depends on an inactive-by-default mechanistic parasitoid pathway, the higher-level pesticide engine or a selected pesticide-response formulation. No effect is reserved for declarations that cannot change current model behaviour through the active code.</w:t>
      </w:r>
    </w:p>
    <w:p>
      <w:r>
        <w:rPr>
          <w:rFonts w:ascii="Calibri" w:hAnsi="Calibri"/>
          <w:sz w:val="22"/>
        </w:rPr>
        <w:t>The eight no-effect keys are: OSMIADENSITYDENPENDENTPOLLENREMOVALCONST, OSMIA_MALEMINTARGETPROVISIONMASS, OSMIA_MINCELLCONSTRUCTTIME, OSMIA_MINMALEMASS, OSMIA_NECTAR_THRESHOLDS, OSMIA_POLLEN_THRESHOLDS, OSMIA_PPP_KILL_RATE, OSMIA_PPP_RECOVERY_RATE.</w:t>
      </w:r>
    </w:p>
    <w:p>
      <w:pPr>
        <w:pStyle w:val="Heading1"/>
      </w:pPr>
      <w:r>
        <w:t>A.3 Parameter table</w:t>
      </w:r>
    </w:p>
    <w:p>
      <w:pPr>
        <w:pStyle w:val="Heading2"/>
      </w:pPr>
      <w:r>
        <w:t>A1. General</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cfg_OsmiaFemaleLifespan</w:t>
              <w:br/>
              <w:t>OSMIA_LIFESPAN</w:t>
              <w:br/>
              <w:t>Lmax</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Upper limit on the adult female's internal age counter</w:t>
              <w:br/>
              <w:t>Units: internal age days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60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m_EmergeAge increments in st_Develop and during dispersal but not on provisioning days. The value is therefore not a 60-day calendar lifespan. It also sizes the age-related foraging-efficiency table and bounds the age index into the maternal-investment curves.</w:t>
              <w:br/>
              <w:t>Source: Osmia.cpp:130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cfg_OsmiaStartNo</w:t>
              <w:br/>
              <w:t>OSMIA_STARTNOS</w:t>
              <w:br/>
              <w:t>N0</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Starting number of cocooned adults</w:t>
              <w:br/>
              <w:t>Units: count of overwintering cocoons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50000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Osmia_Population_Manager.cpp:104</w:t>
            </w:r>
          </w:p>
        </w:tc>
      </w:tr>
    </w:tbl>
    <w:p>
      <w:pPr>
        <w:spacing w:before="80" w:after="80"/>
      </w:pPr>
    </w:p>
    <w:p>
      <w:pPr>
        <w:pStyle w:val="Heading2"/>
      </w:pPr>
      <w:r>
        <w:t>A2. Development in the nest</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cfg_OsmiaEggDevelTotalDD</w:t>
              <w:br/>
              <w:t>OSMIA_EGGDEVELDD</w:t>
              <w:br/>
              <w:t>DDegg</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Number of degree days (above the developmental threshold) needed for egg to hatch</w:t>
              <w:br/>
              <w:t>Units: degree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104.435</w:t>
              <w:br/>
              <w:t>Formal Model: 37.0</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Source annotation: medium sensitivity; not systematically tested. Only meaningful together with cfg_OsmiaEggDevelThreshold. The developmental total and threshold must be interpreted as a fitted pair.</w:t>
              <w:br/>
              <w:t>Source: Osmia.cpp:66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cfg_OsmiaEggDevelThreshold</w:t>
              <w:br/>
              <w:t>OSMIA_EGGDEVELTHRESHOLD</w:t>
              <w:br/>
              <w:t>T0,egg</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Temperature developmental threshold for egg development</w:t>
              <w:br/>
              <w:t>Units: °C</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0.518</w:t>
              <w:br/>
              <w:t>Formal Model: 13.8</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w:t>
              <w:br/>
              <w:t>Source: Osmia.cpp:68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cfg_OsmiaLarvaDevelTotalDD</w:t>
              <w:br/>
              <w:t>OSMIA_LARVADEVELDD</w:t>
              <w:br/>
              <w:t>DDlar</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Number of degree days (above the developmental threshold) needed for larva to develop into prepupa</w:t>
              <w:br/>
              <w:t>Units: degree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305.235</w:t>
              <w:br/>
              <w:t>Formal Model: 422.4</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Source annotation: medium sensitivity; not systematically tested.</w:t>
              <w:br/>
              <w:t>Source: Osmia.cpp:70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cfg_OsmiaLarvaDevelThreshold</w:t>
              <w:br/>
              <w:t>OSMIA_LARVADEVELTHRESHOLD</w:t>
              <w:br/>
              <w:t>T0,lar</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Temperature developmental threshold for larva development</w:t>
              <w:br/>
              <w:t>Units: °C</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8.834</w:t>
              <w:br/>
              <w:t>Formal Model: 8.5</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w:t>
              <w:br/>
              <w:t>Source: Osmia.cpp:72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cfg_OsmiaPrepupaDevelTotalDays</w:t>
              <w:br/>
              <w:t>OSMIA_PREPUPADEVELDAYS</w:t>
              <w:br/>
              <w:t>Dopt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Prepupal duration at the temperature where the normalised development rate equals 1</w:t>
              <w:br/>
              <w:t>Units: days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21.27</w:t>
              <w:br/>
              <w:t>Formal Model: 24.3</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It is a duration rather than a developmental speed.</w:t>
              <w:br/>
              <w:t>Source: Osmia.cpp:97</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cfg_OsmiaPrepupalRateA</w:t>
              <w:br/>
              <w:t>OSMIA_PREPUPALRATE_A</w:t>
              <w:br/>
              <w:t>aq</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Squared-term coefficient of the prepupal development rate quadratic</w:t>
              <w:br/>
              <w:t>Units: °C-2</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0.0149431912</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Derived from Ziółkowska et al. (2023), Fig. 3C</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Osmia_Population_Manager.cpp:94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cfg_OsmiaPrepupalRateB</w:t>
              <w:br/>
              <w:t>OSMIA_PREPUPALRATE_B</w:t>
              <w:br/>
              <w:t>bq</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Linear-term coefficient of the prepupal development rate quadratic</w:t>
              <w:br/>
              <w:t>Units: °C-1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-0.6679153638</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Derived from Ziółkowska et al. (2023), Fig. 3C</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Osmia_Population_Manager.cpp:96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cfg_OsmiaPrepupalRateC</w:t>
              <w:br/>
              <w:t>OSMIA_PREPUPALRATE_C</w:t>
              <w:br/>
              <w:t>cq</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Constant term of the prepupal development rate quadratic</w:t>
              <w:br/>
              <w:t>Units: dimensionless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8.4616334666</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Derived from Ziółkowska et al. (2023), Fig. 3C</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Only the ratios a:b:c are identified, since the function is normalised at the optimum; changing one coefficient alone rescales the whole curve.</w:t>
              <w:br/>
              <w:t>Source: Osmia_Population_Manager.cpp:98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cfg_OsmiaPrepupalRateTOpt</w:t>
              <w:br/>
              <w:t>OSMIA_PREPUPALRATE_TOPT</w:t>
              <w:br/>
              <w:t>Topt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Temperature at which the prepupal rate function is normalised to 1.0</w:t>
              <w:br/>
              <w:t>Units: °C</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22.0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Stated optimum,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Osmia_Population_Manager.cpp:102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cfg_OsmiaPupaDevelTotalDD</w:t>
              <w:br/>
              <w:t>OSMIA_PUPADEVELDD</w:t>
              <w:br/>
              <w:t>DDpup</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Number of degree days (above the developmental threshold) needed for pupa to develop into cocooned adult</w:t>
              <w:br/>
              <w:t>Units: degree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555.907</w:t>
              <w:br/>
              <w:t>Formal Model: 272.3</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w:t>
              <w:br/>
              <w:t>Source: Osmia.cpp:74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cfg_OsmiaPupaDevelThreshold</w:t>
              <w:br/>
              <w:t>OSMIA_PUPADEVELTHRESHOLD</w:t>
              <w:br/>
              <w:t>T0,pup</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Temperature developmental threshold for pupa development</w:t>
              <w:br/>
              <w:t>Units: °C</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2.463</w:t>
              <w:br/>
              <w:t>Formal Model: 13.2</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w:t>
              <w:br/>
              <w:t>Source: Osmia.cpp:76</w:t>
            </w:r>
          </w:p>
        </w:tc>
      </w:tr>
    </w:tbl>
    <w:p>
      <w:pPr>
        <w:spacing w:before="80" w:after="80"/>
      </w:pPr>
    </w:p>
    <w:p>
      <w:pPr>
        <w:pStyle w:val="Heading2"/>
      </w:pPr>
      <w:r>
        <w:t>A3. Overwintering</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cfg_OsmiaInCocoonOverwinteringTempThreshold</w:t>
              <w:br/>
              <w:t>OSMIA_INCOCOONOVERWINTERINGTEMPTHRESHOLD</w:t>
              <w:br/>
              <w:t>Tow</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Base temperature above which warmth accumulates during overwintering</w:t>
              <w:br/>
              <w:t>Units: °C</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7.758</w:t>
              <w:br/>
              <w:t>Formal Model: 0.0</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and is not a chilling threshold.</w:t>
              <w:br/>
              <w:t>Source: Osmia.cpp:78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cfg_OsmiaInCocoonPrewinteringTempThreshold</w:t>
              <w:br/>
              <w:t>OSMIA_INCOCOONPREWINTERINGTEMPTHRESHOLD</w:t>
              <w:br/>
              <w:t>Tpre</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Base temperature above which pre-wintering degree-days accumulate</w:t>
              <w:br/>
              <w:t>Units: °C</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15.0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These degree-days drive the later mortality equation. The end of pre-wintering is detected by a separate hard-coded autumn temperature rule.</w:t>
              <w:br/>
              <w:t>Source: Osmia.cpp:82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cfg_OsmiaOverwinterDegreeDaysInitialSimu</w:t>
              <w:br/>
              <w:t>OSMIA_OVERWINTER_DEGREE_DAYS_INITIAL_SIMU</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Overwintering day-degrees given to each cocoon of the starting cohort</w:t>
              <w:br/>
              <w:t>Units: degree-days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320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Applies only to the starting cohort. Cocoons created during a run must receive 0.</w:t>
              <w:br/>
              <w:t>Source: Osmia_Population_Manager.cpp:192</w:t>
            </w:r>
          </w:p>
        </w:tc>
      </w:tr>
    </w:tbl>
    <w:p>
      <w:pPr>
        <w:spacing w:before="80" w:after="80"/>
      </w:pPr>
    </w:p>
    <w:p>
      <w:pPr>
        <w:pStyle w:val="Heading2"/>
      </w:pPr>
      <w:r>
        <w:t>A4. Emergence from the nest</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cfg_OsmiaEmergenceProbArgs</w:t>
              <w:br/>
              <w:t>OSMIA_EMERGENCEPROBARGS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Parameters for the emergence-delay distribution</w:t>
              <w:br/>
              <w:t>Units: relative weights (unnormalised counts)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8 7 9 24 20 8 6 5 5 4 4</w:t>
              <w:br/>
              <w:t>Formal Model: =</w:t>
              <w:br/>
              <w:t>Range: delay of 0–10 days</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Based on field data, see Ziółkowska et al. (2023)</w:t>
              <w:br/>
              <w:t>Field data</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Osmia.cpp:164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cfg_OsmiaEmergenceProbType</w:t>
              <w:br/>
              <w:t>OSMIA_EMERGENCEPROBTYPE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Type of the emergence distribution</w:t>
              <w:br/>
              <w:t>Units: — (distribution family)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DISCRETE</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Based on field data, see Ziółkowska et al. (2023)</w:t>
              <w:br/>
              <w:t>Field data</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Osmia.cpp:162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cfg_OsmiaInCocoonEmergCountConst</w:t>
              <w:br/>
              <w:t>OSMIA_INCOCOONEMERGENCECOUNTERCONST</w:t>
              <w:br/>
              <w:t>aem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Constant term in emergence counter (counting days left to emergence) equation for cocooned adult</w:t>
              <w:br/>
              <w:t>Units: days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13.3685</w:t>
              <w:br/>
              <w:t>Formal Model: 39.4819</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w:t>
              <w:br/>
              <w:t>Source: Osmia.cpp:99</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cfg_OsmiaInCocoonEmergCountSlope</w:t>
              <w:br/>
              <w:t>OSMIA_INCOCOONEMERGENCECOUNTERSLOPE</w:t>
              <w:br/>
              <w:t>bem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Coefficient in emergence counter (counting days left to emergence) equation for cocooned adult</w:t>
              <w:br/>
              <w:t>Units: days per degree-day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-0.01613</w:t>
              <w:br/>
              <w:t>Formal Model: -0.0147</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Source annotation: high sensitivity; not systematically tested.</w:t>
              <w:br/>
              <w:t>Source: Osmia.cpp:101</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cfg_OsmiaInCocoonEmergenceTempThreshold</w:t>
              <w:br/>
              <w:t>OSMIA_INCOCOONEMERGENCETEMPTHRESHOLD</w:t>
              <w:br/>
              <w:t>Tem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Temperature threshold for counting days left to emergence</w:t>
              <w:br/>
              <w:t>Units: °C</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10.085</w:t>
              <w:br/>
              <w:t>Formal Model: 12.0</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Source annotation: high sensitivity; not systematically tested.</w:t>
              <w:br/>
              <w:t>Source: Osmia.cpp:80</w:t>
            </w:r>
          </w:p>
        </w:tc>
      </w:tr>
    </w:tbl>
    <w:p>
      <w:pPr>
        <w:spacing w:before="80" w:after="80"/>
      </w:pPr>
    </w:p>
    <w:p>
      <w:pPr>
        <w:pStyle w:val="Heading2"/>
      </w:pPr>
      <w:r>
        <w:t>A5. Osmia mass</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cfg_OsmiaCocoonMassFromProvMass</w:t>
              <w:br/>
              <w:t>OSMIAS_COCOONTOPROVISIONING</w:t>
              <w:br/>
              <w:t>kcp</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Scaling parameter to recalculate cocoon mass from provision mass</w:t>
              <w:br/>
              <w:t>Units: mg cocoon per mg provision (dimensionless)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 / 3.247 (= 0.30797659)</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Passed to Osmia_Female::SetProvisionToCocoonMass, not to SetCocoonToProvisionMass, despite the apparent name match. The member and configuration names use opposite "X to Y" conventions; check the call site in Osmia_Population_Manager::Init before changing either.</w:t>
              <w:br/>
              <w:t>Source: Osmia_Population_Manager.cpp:130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cfg_OsmiaProvMassFromCocoonMass</w:t>
              <w:br/>
              <w:t>OSMIAS_PROVISIONINGTOCOCOON</w:t>
              <w:br/>
              <w:t>kpc</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Scaling parameter to recalculate provision mass from target cocoon mass</w:t>
              <w:br/>
              <w:t>Units: mg provision per mg cocoon (dimensionless)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3.247</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Osmia_Population_Manager.cpp:132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cfg_OsmiaAdultMassCategoryStep</w:t>
              <w:br/>
              <w:t>OSMIA_ADULTMASSCLASSSTEP</w:t>
              <w:br/>
              <w:t>ΔM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The size class step for female mass</w:t>
              <w:br/>
              <w:t>Units: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Osmia_Population_Manager.cpp:110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cfg_OsmiaFemaleMassFromProvMassConst</w:t>
              <w:br/>
              <w:t>OSMIA_FEMALEMASSFROMPROVMASSCONST</w:t>
              <w:br/>
              <w:t>am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Constant term in equation for calculation of adult mass from mass of provisions</w:t>
              <w:br/>
              <w:t>Units: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w:t>
              <w:br/>
              <w:t>Formal Model: 4.00</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w:t>
              <w:br/>
              <w:t>Source: Osmia.cpp:132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cfg_OsmiaFemaleMassFromProvMassSlope</w:t>
              <w:br/>
              <w:t>OSMIA_FEMALEMASSFROMPROVMASSSLOPE</w:t>
              <w:br/>
              <w:t>bm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Coefficient in equation for calculation of adult mass from mass of provisions</w:t>
              <w:br/>
              <w:t>Units: mg body mass per mg provision (dimensionless)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0.2324</w:t>
              <w:br/>
              <w:t>Formal Model: 0.25</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Source annotation: high sensitivity; not systematically tested.</w:t>
              <w:br/>
              <w:t>Source: Osmia.cpp:134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cfg_OsmiaFemaleMassMax</w:t>
              <w:br/>
              <w:t>OSMIA_MAXFEMALEMASS</w:t>
              <w:br/>
              <w:t>Mmax</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possible mass for an adult female</w:t>
              <w:br/>
              <w:t>Units: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200.0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Also sets the number of mass classes in the maternal investment lookup tables. The implementation clamps the derived class index to the final lookup-table row.</w:t>
              <w:br/>
              <w:t>Source: Osmia.cpp:126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cfg_OsmiaMaleMassMax</w:t>
              <w:br/>
              <w:t>OSMIA_MAXMALEMASS</w:t>
              <w:br/>
              <w:t>Mmax,m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possible mass for an adult male</w:t>
              <w:br/>
              <w:t>Units: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105.0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Based on field data, see Ziółkowska et al. (2023)</w:t>
              <w:br/>
              <w:t>Field data</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Osmia.cpp:122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cfg_OsmiaFemaleMassMin</w:t>
              <w:br/>
              <w:t>OSMIA_MINFEMALEMASS</w:t>
              <w:br/>
              <w:t>Mmin</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Minimum possible mass for an adult female</w:t>
              <w:br/>
              <w:t>Units: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25.0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Based on field data, see Ziółkowska et al. (2023)</w:t>
              <w:br/>
              <w:t>Field data</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Osmia_Female::Init terminates the simulation if a female is created outside [cfg_OsmiaFemaleMassMin, cfg_OsmiaFemaleMassMax].</w:t>
              <w:br/>
              <w:t>Source: Osmia.cpp:124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cfg_OsmiaMaleMassMin</w:t>
              <w:br/>
              <w:t>OSMIA_MINMALEMASS</w:t>
              <w:br/>
              <w:t>Mmin,m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Minimum possible mass for an adult male</w:t>
              <w:br/>
              <w:t>Units: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88</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Based on field data, see Ziółkowska et al. (2023)</w:t>
              <w:br/>
              <w:t>Field data</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No effect</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Declared but not read by the current implementation; changing it has no behavioural effect.</w:t>
              <w:br/>
              <w:t>Source: Osmia.cpp:120</w:t>
            </w:r>
          </w:p>
        </w:tc>
      </w:tr>
    </w:tbl>
    <w:p>
      <w:pPr>
        <w:spacing w:before="80" w:after="80"/>
      </w:pPr>
    </w:p>
    <w:p>
      <w:pPr>
        <w:pStyle w:val="Heading2"/>
      </w:pPr>
      <w:r>
        <w:t>A6. Movement</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cfg_OsmiaDispersalMovementProbArgs</w:t>
              <w:br/>
              <w:t>OSMIA_DISPMOVPROBARGS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Parameters for dispersal movement distribution</w:t>
              <w:br/>
              <w:t>Units: dimensionless BETA shape parameters (alpha beta)</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 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Osmia.cpp:150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cfg_OsmiaDispersalMovementProbType</w:t>
              <w:br/>
              <w:t>OSMIA_DISPMOVPROBTYPE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Type of dispersal movement distribution</w:t>
              <w:br/>
              <w:t>Units: — (distribution family)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BETA</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Osmia.cpp:148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cfg_OsmiaGenerallMovementProbArgs</w:t>
              <w:br/>
              <w:t>OSMIA_GENMOVPROBARGS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Parameters for general movement distribution</w:t>
              <w:br/>
              <w:t>Units: dimensionless BETA shape parameters (alpha beta)</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 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Osmia.cpp:154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cfg_OsmiaGeneralMovementProbType</w:t>
              <w:br/>
              <w:t>OSMIA_GENMOVPROBTYPE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Type of general movement distribution</w:t>
              <w:br/>
              <w:t>Units: — (distribution family)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BETA</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Osmia.cpp:152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cfg_OsmiaMaxHomingDistance</w:t>
              <w:br/>
              <w:t>OSMIA_MAXHOMINGDISTANCE</w:t>
              <w:br/>
              <w:t>R90</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distance used to scale dispersal</w:t>
              <w:br/>
              <w:t>Units: m</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1430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 source comment records that reducing this to 715 produced negative values in a pollen mask. The active foraging routine does not use that mask, so the direct behavioural effect documented here is on dispersal.</w:t>
              <w:br/>
              <w:t>Source: Osmia.cpp:145</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cfg_OsmiaMaxPrecipForFlying</w:t>
              <w:br/>
              <w:t>OSMIA_MAX_PRECIP_FOR_FLYING</w:t>
              <w:br/>
              <w:t>Pfly</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hourly precipitation at which an adult female will fly</w:t>
              <w:br/>
              <w:t>Units: mm h−1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0.1</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Osmia_Population_Manager.cpp:190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cfg_OsmiaMaxWindSpeedForFlying</w:t>
              <w:br/>
              <w:t>OSMIA_MAX_WIND_SPEED_FOR_FLYING</w:t>
              <w:br/>
              <w:t>Wfly</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hourly wind speed at which an adult female will fly</w:t>
              <w:br/>
              <w:t>Units: m s−1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8</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Osmia_Population_Manager.cpp:188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cfg_OsmiaMinTempForFlying</w:t>
              <w:br/>
              <w:t>OSMIA_MIN_TEMP_FOR_FLYING</w:t>
              <w:br/>
              <w:t>Tfly</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Minimum hourly temperature at which an adult female will fly</w:t>
              <w:br/>
              <w:t>Units: °C</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6</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Sensitivity has not been quantified.</w:t>
              <w:br/>
              <w:t>Source: Osmia_Population_Manager.cpp:186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cfg_OsmiaTypicalHomingDistance</w:t>
              <w:br/>
              <w:t>OSMIA_TYPICALHOMINGDISTANCE</w:t>
              <w:br/>
              <w:t>R50</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distance for short-range movements</w:t>
              <w:br/>
              <w:t>Units: m</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660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Osmia.cpp:143</w:t>
            </w:r>
          </w:p>
        </w:tc>
      </w:tr>
    </w:tbl>
    <w:p>
      <w:pPr>
        <w:spacing w:before="80" w:after="80"/>
      </w:pPr>
    </w:p>
    <w:p>
      <w:pPr>
        <w:pStyle w:val="Heading2"/>
      </w:pPr>
      <w:r>
        <w:t>A7. Nesting</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cfg_OsmiaFemaleFindNestAttemptNo</w:t>
              <w:br/>
              <w:t>OSMIA_FEMALEFINDNESTATTEMPTNO</w:t>
              <w:br/>
              <w:t>ntry</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Number of nest finding attempts</w:t>
              <w:br/>
              <w:t>Units: count of search rings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Source annotation: medium sensitivity; not systematically tested.</w:t>
              <w:br/>
              <w:t>Source: Osmia_Population_Manager.cpp:150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cfg_OsmiaMaxNoEggsInNest</w:t>
              <w:br/>
              <w:t>OSMIA_MAXNOEGGSINNEST</w:t>
              <w:br/>
              <w:t>Nmax</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number of eggs planned for a nest</w:t>
              <w:br/>
              <w:t>Units: count of cells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30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Osmia_Population_Manager.cpp:118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cfg_OsmiaMinNoEggsInNest</w:t>
              <w:br/>
              <w:t>OSMIA_MINNOEGGSINNEST</w:t>
              <w:br/>
              <w:t>Nmin</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Minimum number of eggs planned for a nest</w:t>
              <w:br/>
              <w:t>Units: count of cells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3</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Osmia_Population_Manager.cpp:116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cfg_OsmiaFemalePrenestingDuration</w:t>
              <w:br/>
              <w:t>OSMIA_PRENESTINGDURATION</w:t>
              <w:br/>
              <w:t>Dpre</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Duration of prenesting</w:t>
              <w:br/>
              <w:t>Units: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Osmia.cpp:128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cfg_TotalNestsPossible</w:t>
              <w:br/>
              <w:t>OSMIA_TOTALNESTSPOSSIBLE</w:t>
              <w:br/>
              <w:t>Nnests</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number of nests possible for a bee</w:t>
              <w:br/>
              <w:t>Units: count of nests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4</w:t>
              <w:br/>
              <w:t>Formal Model: 5</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the fitted value of 3.50 is rounded to the integer 4.</w:t>
              <w:br/>
              <w:t>Source: Osmia_Population_Manager.cpp:140</w:t>
            </w:r>
          </w:p>
        </w:tc>
      </w:tr>
    </w:tbl>
    <w:p>
      <w:pPr>
        <w:spacing w:before="80" w:after="80"/>
      </w:pPr>
    </w:p>
    <w:p>
      <w:pPr>
        <w:pStyle w:val="Heading2"/>
      </w:pPr>
      <w:r>
        <w:t>A8. Reproduction</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cfg_OsmiaTotalCocoonMassLoss</w:t>
              <w:br/>
              <w:t>OSMIATOTALCOCOONMASSLOSS</w:t>
              <w:br/>
              <w:t>ΔCnest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The assumed decline in female cocoon mass from the first to the last female cell of a nest</w:t>
              <w:br/>
              <w:t>Units: mg (cocoon mass)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15.0</w:t>
              <w:br/>
              <w:t>Formal Model: =</w:t>
              <w:br/>
              <w:t>Range: 10.0 - 20.0 given the +/- OSMIATOTALCOCOONMASSLOSSRANGE spread applied per nest</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Sensitivity has not been established.</w:t>
              <w:br/>
              <w:t>Source: Osmia.h:62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cfg_OsmiaTotalCocoonMassLossRange</w:t>
              <w:br/>
              <w:t>OSMIATOTALCOCOONMASSLOSSRANGE</w:t>
              <w:br/>
              <w:t>δCnest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Half-width of the uniform variation applied around cfg_OsmiaTotalCocoonMassLoss per nest</w:t>
              <w:br/>
              <w:t>Units: mg (cocoon mass)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5.0</w:t>
              <w:br/>
              <w:t>Formal Model: =</w:t>
              <w:br/>
              <w:t>Range: 0.0 (no between-nest variation) to cfg_OsmiaTotalCocoonMassLoss</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Setting this larger than cfg_OsmiaTotalCocoonMassLoss allows a negative total mass loss, i.e. daughters increasing in mass through the nest, which reverses the modelled investment pattern.</w:t>
              <w:br/>
              <w:t>Source: Osmia.h:64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cfg_OsmiaEggsPerNestProbArgs</w:t>
              <w:br/>
              <w:t>OSMIA_EGGSPERNESTPROBARGS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Parameters for the probability distribution for number of eggs in the first nest</w:t>
              <w:br/>
              <w:t>Units: dimensionless BETA shape parameters (alpha beta)</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2.277 5.940</w:t>
              <w:br/>
              <w:t>Formal Model: 1.8 5.0</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Differs from the Formal Model value. The current declaration differs from the Formal Model comparator.</w:t>
              <w:br/>
              <w:t>Source: Osmia.cpp:158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cfg_OsmiaEggsPerNestProbType</w:t>
              <w:br/>
              <w:t>OSMIA_EGGSPERNESTPROBYPE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Type of the probability distribution for number of eggs in the first nest</w:t>
              <w:br/>
              <w:t>Units: — (distribution family)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BETA</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Osmia.cpp:156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Cfg_OsmiaFemaleCocoonMassVsMotherAgeLogistic</w:t>
              <w:br/>
              <w:t>OSMIA_FEMALECOCOONMASSVSMOTHERSAGELOGISTIC</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Parameters for the relationship between maternal age and female offspring cocoon mass</w:t>
              <w:br/>
              <w:t>Units: x0 in days; min and max in mg cocoon mass; k per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18.04087868 104.19820591 133.74150303 -0.17686981</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Osmia_Population_Manager.cpp:121</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Cfg_OsmiaFemaleCocoonMassVsMotherMassLinear</w:t>
              <w:br/>
              <w:t>OSMIA_FEMALECOCOONMASSVSMOTHERSMASSLINEAR</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Parameters for the linear relationship between maternal mass and the first female cocoon mass</w:t>
              <w:br/>
              <w:t>Units: a in mg cocoon per mg mother; b in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0.3 65.1</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Osmia_Population_Manager.cpp:125</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cfg_Osmia_LifetimeCocoonMassLoss</w:t>
              <w:br/>
              <w:t>OSMIA_LIFETIMECOCOONMASSLOSS</w:t>
              <w:br/>
              <w:t>ΔClife</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Total difference in cocoon mass from first to last cocoon</w:t>
              <w:br/>
              <w:t>Units: mg cocoon mass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30.0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Distinct from cfg_OsmiaTotalCocoonMassLoss (default 15.0), which is the within-nest decline. This one is used only to place the first daughter half of it above the mother's average, when the cocoon mass curves are built. The two are easy to confuse.</w:t>
              <w:br/>
              <w:t>Source: Osmia_Population_Manager.cpp:128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cfg_OsmiaSexRatioVsMotherAgeLogistic</w:t>
              <w:br/>
              <w:t>OSMIA_SEXRATIOVSMOTHERSAGELOGISTIC</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Parameters for the relationship between maternal age and offspring sex ratio</w:t>
              <w:br/>
              <w:t>Units: x0 in days; min and max as proportion female; k per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14.90257909 0.09141286 0.6031729 -0.39213001</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 lookup-table construction replaces the stored young-age maximum with the mass-dependent value from cfg_OsmiaSexRatioVsMotherMassLinear. Source annotation: high sensitivity; not systematically tested.</w:t>
              <w:br/>
              <w:t>Source: Osmia_Population_Manager.cpp:120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cfg_OsmiaSexRatioVsMotherMassLinear</w:t>
              <w:br/>
              <w:t>OSMIA_SEXRATIOVSMOTHERSMASSLINEAR</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Parameters for the relationship between maternal mass and the young-age sex ratio</w:t>
              <w:br/>
              <w:t>Units: a in proportion female per mg; b dimensionless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0.0055 -0.1025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Not clamped to [0,1]: masses above about 200 mg give a young-age proportion female above 1.</w:t>
              <w:br/>
              <w:t>Source: Osmia_Population_Manager.cpp:124</w:t>
            </w:r>
          </w:p>
        </w:tc>
      </w:tr>
    </w:tbl>
    <w:p>
      <w:pPr>
        <w:spacing w:before="80" w:after="80"/>
      </w:pPr>
    </w:p>
    <w:p>
      <w:pPr>
        <w:pStyle w:val="Heading2"/>
      </w:pPr>
      <w:r>
        <w:t>A9. Provisioning</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cfg_OsmiaForageMaskStep</w:t>
              <w:br/>
              <w:t>OSMIA_FORAGE_MASK_STEP</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The incremental for searching resource mask</w:t>
              <w:br/>
              <w:t>Units: m</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50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Osmia.cpp:180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cfg_MaleMinTargetProvisionMass</w:t>
              <w:br/>
              <w:t>OSMIA_MALEMINTARGETPROVISIONMASS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Minimum amount of pollen needed to provision a male cell</w:t>
              <w:br/>
              <w:t>Units: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Based on field data, see Ziółkowska et al. (2023)</w:t>
              <w:br/>
              <w:t>Field data</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No effect</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Declared but never read. Osmia_Base::SetParameterValues derives the minimum male target as 95% of the minimum female target instead, so this configuration variable has no effect. Remove it or wire it up.</w:t>
              <w:br/>
              <w:t>Source: Osmia_Population_Manager.cpp:134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cfg_MaximumCellConstructionTime</w:t>
              <w:br/>
              <w:t>OSMIA_MAXCELLCONSTRUCTTIME</w:t>
              <w:br/>
              <w:t>Dcell,max</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Maximum time allowed to construct a cell</w:t>
              <w:br/>
              <w:t>Units: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4</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Source annotation: medium sensitivity; not systematically tested.</w:t>
              <w:br/>
              <w:t>Source: Osmia_Population_Manager.cpp:138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cfg_OsmiaMaxPollen</w:t>
              <w:br/>
              <w:t>OSMIA_MAXPOLLEN</w:t>
              <w:br/>
              <w:t>Pmax</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Cap on the amount of pollen provision possible to bring back to the nest (per foraging hour)</w:t>
              <w:br/>
              <w:t>Units: mg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Source annotation: high sensitivity; not systematically tested.</w:t>
              <w:br/>
              <w:t>Source: Osmia.cpp:168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cfg_OsmiaMaxHalfWidthForageMask</w:t>
              <w:br/>
              <w:t>OSMIA_MAX_HALF_WIDTH_FORAGE_MASK</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Half width of the maximum square that a female can search for pollen</w:t>
              <w:br/>
              <w:t>Units: m</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600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Osmia.cpp:178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cfg_MinimumCellConstructionTime</w:t>
              <w:br/>
              <w:t>OSMIA_MINCELLCONSTRUCTTIME</w:t>
              <w:br/>
              <w:t>Dcell,min</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Minimum time to construct a cell</w:t>
              <w:br/>
              <w:t>Units: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No effect</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Declared but never read, so changing it has no effect.</w:t>
              <w:br/>
              <w:t>Source: Osmia_Population_Manager.cpp:136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cfg_OsmiaSugarPerDay</w:t>
              <w:br/>
              <w:t>OSMIA_NECTAR_PER_DAY</w:t>
              <w:br/>
              <w:t>Sday</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Sugar an adult female consumes per day for her own maintenance</w:t>
              <w:br/>
              <w:t>Units: mg sugar per female per 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Not an energy budget: a female who cannot obtain this sugar suffers no consequence. It is used only to scale nectar-borne pesticide intake.</w:t>
              <w:br/>
              <w:t>Source: Osmia.cpp:170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cfg_OsmiaPollenGiveUpReturn</w:t>
              <w:br/>
              <w:t>OSMIA_POLLENGIVEUPRETURN</w:t>
              <w:br/>
              <w:t>θabs</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Minimum pollen-score return accepted by the foraging routine</w:t>
              <w:br/>
              <w:t>Units: landscape pollen score (dimensionless)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0.75</w:t>
              <w:br/>
              <w:t>Formal Model: =</w:t>
              <w:br/>
              <w:t>Range: 0–50</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Compared before conversion from pollen score to mass.</w:t>
              <w:br/>
              <w:t>Source: Osmia_Population_Manager.cpp:154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cfg_OsmiaPollenGiveUpThreshold</w:t>
              <w:br/>
              <w:t>OSMIA_POLLENGIVEUPTHRESHOLD</w:t>
              <w:br/>
              <w:t>θrel</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Change in proportion pollen before a new patch is selected</w:t>
              <w:br/>
              <w:t>Units: proportion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0.75</w:t>
              <w:br/>
              <w:t>Formal Model: =</w:t>
              <w:br/>
              <w:t>Range: 0 - 1.0</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Osmia_Population_Manager.cpp:152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cfg_PollenScoreToMg</w:t>
              <w:br/>
              <w:t>OSMIA_POLLENSCORETOMG</w:t>
              <w:br/>
              <w:t>kpol</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Conversion from pollen availability score to pollen collected per bee per foraging hour</w:t>
              <w:br/>
              <w:t>Units: mg pollen per unit pollen score per hour</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0.8</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Calibration provenance document (companion study)</w:t>
              <w:br/>
              <w:t>Calibrated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Population-level sensitivity has not yet been quantified.</w:t>
              <w:br/>
              <w:t>Source: Osmia_Population_Manager.cpp:158</w:t>
            </w:r>
          </w:p>
        </w:tc>
      </w:tr>
    </w:tbl>
    <w:p>
      <w:pPr>
        <w:spacing w:before="80" w:after="80"/>
      </w:pPr>
    </w:p>
    <w:p>
      <w:pPr>
        <w:pStyle w:val="Heading2"/>
      </w:pPr>
      <w:r>
        <w:t>A10. Mortality</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cfg_OsmiaEggDailyMORT</w:t>
              <w:br/>
              <w:t>OSMIA_EGGDAILYMORT</w:t>
              <w:br/>
              <w:t>μegg</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Daily unspecified mortality for eggs</w:t>
              <w:br/>
              <w:t>Units: probability per individual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0.0014</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Source annotation: high sensitivity; not systematically tested.</w:t>
              <w:br/>
              <w:t>Source: Osmia.cpp:106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cfg_OsmiaFemaleBckMort</w:t>
              <w:br/>
              <w:t>OSMIA_FEMALEBACKMORT</w:t>
              <w:br/>
              <w:t>μad</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Background mortality probability when st_Develop is evaluated</w:t>
              <w:br/>
              <w:t>Units: probability per trial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0.02</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It is not tested on every calendar day because provisioning uses a different state. Population-level sensitivity has not yet been quantified.</w:t>
              <w:br/>
              <w:t>Source: Osmia_Population_Manager.cpp:114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cfg_OsmiaInCocoonWinterMortConst</w:t>
              <w:br/>
              <w:t>OSMIA_INCOCOONWINTERMORTCONST</w:t>
              <w:br/>
              <w:t>awm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Constant term in winter mortality equation for cocooned adult</w:t>
              <w:br/>
              <w:t>Units: percent (compared against a uniform draw on 0-99, not against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-4.63</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Percentage scale, not probability. Supplying 0-1 coefficients removes overwintering mortality entirely and silently.</w:t>
              <w:br/>
              <w:t>Source: Osmia.cpp:114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cfg_OsmiaInCocoonWinterMortSlope</w:t>
              <w:br/>
              <w:t>OSMIA_INCOCOONWINTERMORTSLOPE</w:t>
              <w:br/>
              <w:t>bwm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Coefficient in winter mortality equation for cocooned adult</w:t>
              <w:br/>
              <w:t>Units: percent mortality per degree-day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Source annotation: high sensitivity; not systematically tested.</w:t>
              <w:br/>
              <w:t>Source: Osmia.cpp:116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cfg_OsmiaLarvaDailyMORT</w:t>
              <w:br/>
              <w:t>OSMIA_LARVADAILYMORT</w:t>
              <w:br/>
              <w:t>μlar</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Daily unspecified mortality for larvae</w:t>
              <w:br/>
              <w:t>Units: probability per individual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0.0014</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Source annotation: high sensitivity; not systematically tested.</w:t>
              <w:br/>
              <w:t>Source: Osmia.cpp:108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cfg_OsmiaPrepupaDailyMORT</w:t>
              <w:br/>
              <w:t>OSMIA_PREPUPADAILYMORT</w:t>
              <w:br/>
              <w:t>μpre</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Daily unspecified mortality for prepupae</w:t>
              <w:br/>
              <w:t>Units: probability per individual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0.003</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Osmia.cpp:110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cfg_OsmiaPupaDailyMORT</w:t>
              <w:br/>
              <w:t>OSMIA_PUPADAILYMORT</w:t>
              <w:br/>
              <w:t>μpup</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Daily unspecified mortality for pupae</w:t>
              <w:br/>
              <w:t>Units: probability per individual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0.003</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Osmia.cpp:112</w:t>
            </w:r>
          </w:p>
        </w:tc>
      </w:tr>
    </w:tbl>
    <w:p>
      <w:pPr>
        <w:spacing w:before="80" w:after="80"/>
      </w:pPr>
    </w:p>
    <w:p>
      <w:pPr>
        <w:pStyle w:val="Heading2"/>
      </w:pPr>
      <w:r>
        <w:t>A11. Parasitism</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cfg_OsmiaBombylidProb</w:t>
              <w:br/>
              <w:t>OSMIA_BOMBYLIDPROB</w:t>
              <w:br/>
              <w:t>pbom</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Probability that a parasitoid is Bombylid</w:t>
              <w:br/>
              <w:t>Units: probability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Osmia_Population_Manager.cpp:144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cfg_OsmiaParasitismProbToTimeCellOpen</w:t>
              <w:br/>
              <w:t>OSMIA_PARASITISMPROBTOTIMECELLOPEN</w:t>
              <w:br/>
              <w:t>ppar</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Conversion rate from time the cell is open to open cell parasitism probability</w:t>
              <w:br/>
              <w:t>Units: probability per hour open</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0.0075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Source annotation: high sensitivity; not systematically tested. Osmia_Female::CalcParaistised multiplies by 24 and by the days open without bounding the result at 1, so at this default a cell open more than about 5.5 days is certainly parasitised.</w:t>
              <w:br/>
              <w:t>Source: Osmia_Population_Manager.cpp:146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cfg_OsmiaParasDailyMort</w:t>
              <w:br/>
              <w:t>OSMIA_PARAS_DAILYMORT</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Monthly multipliers for each TTypeOfOsmiaParasitoids value, with 12 entries per type</w:t>
              <w:br/>
              <w:t>Units: daily multiplier applied to the sub-population (not a mortality probability)</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 1.0 1.0 1.0 1.0 1.0 1.0 1.0 1.0 1.0 1.0 1.0 1.0 1.0 1.0 1.0 1.0 1.0 1.0 1.0 1.0 1.0 1.0 1.0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 name says mortality, but OsmiaParasitoidSubPopulation::DailyMortality uses the value as m_NoParasitoids *= value. A value of 1.0 means no deaths and a value near 0 means near-total daily mortality. The month index is not set in the current mechanistic implementation.</w:t>
              <w:br/>
              <w:t>Source: Osmia_Population_Manager.cpp:65</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cfg_OsmiaParasDispersal</w:t>
              <w:br/>
              <w:t>OSMIA_PARAS_DISPERSAL</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Dispersal rates for TTypeOfOsmiaParasitoids parasitoids. Each entry is the dispersal rate for the parasitoid type matching the order in the enum class TTypeOfOsmiaParasitoids</w:t>
              <w:br/>
              <w:t>Units: proportion of the cell population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0.001 0.0001</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Osmia_Population_Manager.cpp:106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cfg_OsmiaParasStartHighLow</w:t>
              <w:br/>
              <w:t>OSMIA_PARAS_STARTHIGHLOW</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Starting numbers for TTypeOfOsmiaParasitoids parasitoids. Each entry is the max and min starting numbers per sub-population for the parasitoid type matching the order in the enum class TTypeOfOsmiaParasitoids</w:t>
              <w:br/>
              <w:t>Units: individuals per grid cell (max, min per type)</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2.0 1.0 2.0 1.0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Osmia_Population_Manager.cpp:108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cfg_OsmiaPerCapitaParasationChance</w:t>
              <w:br/>
              <w:t>OSMIA_PERCAPITAPARASITATIONCHANCE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Array of parameters for per capita parasitoid probability for each type of parasitoid in the order based on TTypeOfOsmiaParasitoids</w:t>
              <w:br/>
              <w:t>Units: probability per parasitoid present per cell</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0.00001 0.00002</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Osmia_Population_Manager.cpp:148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cfg_UsingMechanisticParasitoids</w:t>
              <w:br/>
              <w:t>OSMIA_USEMECHANISTICPARASITOIDS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Switch between mechanistic (true) and exposure-time (false) parasitism</w:t>
              <w:br/>
              <w:t>Units: boolean</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false</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 mechanistic path has no parasitoid births, reads density from an uninitialised array element, never sets the monthly mortality index and does not conserve numbers during dispersal. The exposure-time formulation is the supported option.</w:t>
              <w:br/>
              <w:t>Source: Osmia_Population_Manager.cpp:142</w:t>
            </w:r>
          </w:p>
        </w:tc>
      </w:tr>
    </w:tbl>
    <w:p>
      <w:pPr>
        <w:spacing w:before="80" w:after="80"/>
      </w:pPr>
    </w:p>
    <w:p>
      <w:pPr>
        <w:pStyle w:val="Heading2"/>
      </w:pPr>
      <w:r>
        <w:t>A12. Use of resources</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cfg_OsmiaDensityDependentPollenRemovalConst</w:t>
              <w:br/>
              <w:t>OSMIADENSITYDENPENDENTPOLLENREMOVALCONST</w:t>
              <w:br/>
              <w:t>ρcomp</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Proportion of pollen available to *Osmia* after use by other pollinators; 1 means no competition</w:t>
              <w:br/>
              <w:t>Units: proportion available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No effect</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 source comment says “no competition assumed as default”, but 0.5 would make half the pollen unavailable. Neither interpretation affects the current model because the statement applying the scaler in Osmia_Female::st_ReproductiveBehaviour is commented out. The comment, value and intended mechanism need to be reconciled. Changing this setting has no effect on current model behaviour.</w:t>
              <w:br/>
              <w:t>Source: Osmia_Population_Manager.cpp:156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cfg_OsmiaNectarThresholds</w:t>
              <w:br/>
              <w:t>OSMIA_NECTAR_THRESHOLDS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Monthly nectar thresholds: 12 quantity values followed by 12 quality values</w:t>
              <w:br/>
              <w:t>Units: entries 0–11 quantity in mJ m−2; entries 12–23 sugar concentration in mg l−1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 1.0 1.0 1.0 1.0 1.0 1.0 1.0 1.0 1.0 1.0 1.0 1.0 1.0 1.0 1.0 1.0 1.0 1.0 1.0 1.0 1.0 1.0 1.0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No effect</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Stored but never consulted by the active foraging code, so changing these values has no effect.</w:t>
              <w:br/>
              <w:t>Source: Osmia_Population_Manager.cpp:58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cfg_OsmiaNestByLE_Datafile</w:t>
              <w:br/>
              <w:t>OSMIA_NESTBYLEDATAFILE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Input file for Osmia nest density per landscape element type (TOLE)</w:t>
              <w:br/>
              <w:t>Units: nest sites per m2 (before the 0.001 scaler applied in Osmia_Nest_Manager::InitOsmiaBeeNesting)</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OsmiaNestsByHabitat.txt</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Literature based, see Ziółkowska et al. (2023)</w:t>
              <w:br/>
              <w:t>Literature</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Source annotation: high sensitivity; not systematically tested. A hard-coded 0.001 scaler, annotated in the implementation as a debug measure, is applied to every density read from this file. Confirm before quoting file values as model parameters.</w:t>
              <w:br/>
              <w:t>Source: Osmia_Population_Manager.cpp:112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cfg_OsmiaPollenThresholds</w:t>
              <w:br/>
              <w:t>OSMIA_POLLEN_THRESHOLDS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Monthly pollen thresholds: 12 quantity values followed by 12 quality values</w:t>
              <w:br/>
              <w:t>Units: entries 0–11 quantity in mg m−2; entries 12–23 quality, dimensionless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 1.0 1.0 1.0 1.0 1.0 1.0 1.0 1.0 1.0 1.0 1.0 1.0 1.0 1.0 1.0 1.0 1.0 1.0 1.0 1.0 1.0 1.0 1.0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 empirical source stated</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No effect</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Read into Osmia_Population_Manager::m_PN_thresholds at start-up but never consulted by the active foraging code, so changing these values has no effect.</w:t>
              <w:br/>
              <w:t>Source: Osmia_Population_Manager.cpp:52</w:t>
            </w:r>
          </w:p>
        </w:tc>
      </w:tr>
    </w:tbl>
    <w:p>
      <w:pPr>
        <w:spacing w:before="80" w:after="80"/>
      </w:pPr>
    </w:p>
    <w:p>
      <w:pPr>
        <w:pStyle w:val="Heading2"/>
      </w:pPr>
      <w:r>
        <w:t>A13. Pesticide exposure and effects</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cfg_OsmiaEggThresholdBasedPesticideResponse</w:t>
              <w:br/>
              <w:t>OSMIA_EGG_THRESHOLD_BASED_PESTICIDE_RESPONSE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The flag to use threshold based pesticide response for eggs</w:t>
              <w:br/>
              <w:t>Units: — (switch)</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false</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Osmia.cpp:186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cfg_OsmiaFemaleBcackgroundPeticideResponse</w:t>
              <w:br/>
              <w:t>OSMIA_FEMALE_BACKGROUND_PESTICIDE_RESPONSE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Switch controlling the background pesticide-response formulation for females</w:t>
              <w:br/>
              <w:t>Units: — (switch)</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true</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 spelling of the C++ variable is reproduced exactly.</w:t>
              <w:br/>
              <w:t>Source: Osmia.cpp:188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cfg_OsmiaFemaleDamageBasedPesticideResponse</w:t>
              <w:br/>
              <w:t>OSMIA_FEMALE_DAMAGE_BASED_PESTICIDE_RESPONSE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The flag to use damage based pesticide response for females</w:t>
              <w:br/>
              <w:t>Units: — (switch)</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false</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Osmia.cpp:184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cfg_OsmiaFemaleThresholdBasedPesticideResponse</w:t>
              <w:br/>
              <w:t>OSMIA_FEMALE_THRESHOLD_BASED_PESTICIDE_RESPONSE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The flag to use threshold based pesticide response for females</w:t>
              <w:br/>
              <w:t>Units: — (switch)</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false</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Undocumented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Osmia.cpp:182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cfg_OsmiaInsecticideApplicationMortality</w:t>
              <w:br/>
              <w:t>OSMIA_INSECTICIDE_APPLICATION_MORTALITY</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Probability that an adult female present at an insecticide application dies. -</w:t>
              <w:br/>
              <w:t>Units: probability per application event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0.8</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A blanket assumption, not substance specific.</w:t>
              <w:br/>
              <w:t>Assumed</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Osmia.cpp:136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cfg_OsmiaPesticideAbsorptionRateContact</w:t>
              <w:br/>
              <w:t>OSMIA_PPP_ABSORPTION_RATE_Contact</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Proportion of contact residue transferred from the body surface into the body per day</w:t>
              <w:br/>
              <w:t>Units: proportion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0.1</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 declaration default is authoritative for this MIDox baseline.</w:t>
              <w:br/>
              <w:t>Source: Osmia_Population_Manager.cpp:178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cfg_OsmiaPesticideAbsorptionRateOverspray</w:t>
              <w:br/>
              <w:t>OSMIA_PPP_ABSORPTION_RATE_Overspray</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Proportion of overspray residue transferred from the body surface into the body per day</w:t>
              <w:br/>
              <w:t>Units: proportion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0.1</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The declaration default is authoritative for this MIDox baseline.</w:t>
              <w:br/>
              <w:t>Source: Osmia_Population_Manager.cpp:180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cfg_OsmiaPesticideContactBodySurface</w:t>
              <w:br/>
              <w:t>OSMIA_PPP_CONTACT_BODY_SURFACE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Body-surface area used for contact exposure</w:t>
              <w:br/>
              <w:t>Units: m2</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Osmia_Population_Manager.cpp:184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cfg_OsmiaPesticideDecayRate</w:t>
              <w:br/>
              <w:t>OSMIA_PPP_DECAY_RATE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Proportion of pesticide body burden eliminated per day</w:t>
              <w:br/>
              <w:t>Units: proportion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Osmia_Population_Manager.cpp:174</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cfg_OsmiaEggPesticideProbability</w:t>
              <w:br/>
              <w:t>OSMIA_PPP_EGG_PROB</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Probability of egg mortality when the pesticide body-burden threshold is exceeded</w:t>
              <w:br/>
              <w:t>Units: probability per test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Osmia_Population_Manager.cpp:166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cfg_OsmiaEggPesticideThreshold</w:t>
              <w:br/>
              <w:t>OSMIA_PPP_EGG_THRESHOLD</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The pesticide threshold causing egg death</w:t>
              <w:br/>
              <w:t>Units: g active substance, summed over products</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10000.0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Osmia_Population_Manager.cpp:168</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cfg_OsmiaPesticideKillRate</w:t>
              <w:br/>
              <w:t>OSMIA_PPP_KILL_RATE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Pesticide killing-rate parameter</w:t>
              <w:br/>
              <w:t>Units: Not established; unused TKTD parameter</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No effect</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Not read by the *Osmia* module, so changing it has no effect.</w:t>
              <w:br/>
              <w:t>Source: Osmia_Population_Manager.cpp:170</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cfg_OsmiaPesticideOversprayBodySurface</w:t>
              <w:br/>
              <w:t>OSMIA_PPP_OVERSPRAY_BODY_SURFACE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Body-surface area used for overspray exposure</w:t>
              <w:br/>
              <w:t>Units: m2</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Osmia_Population_Manager.cpp:182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cfg_OsmiaPesticideOversprayChance</w:t>
              <w:br/>
              <w:t>OSMIA_PPP_OVERSPRAY_CHANCE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Probability of overspray while a female forages in a field being sprayed</w:t>
              <w:br/>
              <w:t>Units: probability per spray event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0.5</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Osmia_Population_Manager.cpp:176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cfg_OsmiaPesticideProbability</w:t>
              <w:br/>
              <w:t>OSMIA_PPP_PROB</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The probability of death per day if the pesticide body burden threshold is exceeded</w:t>
              <w:br/>
              <w:t>Units: probability per female per day (0-1)</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Osmia_Population_Manager.cpp:162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cfg_OsmiaPesticideRecoveryRate</w:t>
              <w:br/>
              <w:t>OSMIA_PPP_RECOVERY_RATE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Pesticide recovery-rate parameter</w:t>
              <w:br/>
              <w:t>Units: Not established; unused TKTD parameter</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No effect</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Not read by the *Osmia* module, so changing it has no effect.</w:t>
              <w:br/>
              <w:t>Source: Osmia_Population_Manager.cpp:172</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cfg_OsmiaPesticideThreshold</w:t>
              <w:br/>
              <w:t>OSMIA_PPP_THRESHOLD</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Pesticide body-burden threshold for pesticide effects</w:t>
              <w:br/>
              <w:t>Units: g active substance</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10000.0</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Conditional</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Osmia_Population_Manager.cpp:164</w:t>
            </w:r>
          </w:p>
        </w:tc>
      </w:tr>
    </w:tbl>
    <w:p>
      <w:pPr>
        <w:spacing w:before="80" w:after="80"/>
      </w:pPr>
    </w:p>
    <w:p>
      <w:pPr>
        <w:pStyle w:val="Heading2"/>
      </w:pPr>
      <w:r>
        <w:t>A14. Technical and output</w:t>
      </w:r>
    </w:p>
    <w:tbl>
      <w:tblPr>
        <w:tblStyle w:val="TableGrid"/>
        <w:tblW w:type="dxa" w:w="18000"/>
        <w:jc w:val="left"/>
        <w:tblLayout w:type="fixed"/>
        <w:tblLook w:firstColumn="1" w:firstRow="1" w:lastColumn="0" w:lastRow="0" w:noHBand="0" w:noVBand="1" w:val="04A0"/>
        <w:tblInd w:w="120" w:type="dxa"/>
      </w:tblPr>
      <w:tblGrid>
        <w:gridCol w:w="2200"/>
        <w:gridCol w:w="3100"/>
        <w:gridCol w:w="2100"/>
        <w:gridCol w:w="1700"/>
        <w:gridCol w:w="1400"/>
        <w:gridCol w:w="7500"/>
      </w:tblGrid>
      <w:tr>
        <w:trPr>
          <w:tblHeader w:val="true"/>
        </w:trPr>
        <w:tc>
          <w:tcPr>
            <w:tcW w:type="dxa" w:w="2200"/>
            <w:shd w:fill="E8EEF5"/>
            <w:vAlign w:val="center"/>
            <w:tcMar>
              <w:top w:w="70" w:type="dxa"/>
              <w:bottom w:w="70" w:type="dxa"/>
              <w:start w:w="100" w:type="dxa"/>
              <w:end w:w="100" w:type="dxa"/>
            </w:tcMar>
          </w:tcPr>
          <w:p>
            <w:pPr>
              <w:jc w:val="center"/>
            </w:pPr>
            <w:r>
              <w:rPr>
                <w:rFonts w:ascii="Calibri" w:hAnsi="Calibri"/>
                <w:b/>
                <w:color w:val="1F4D78"/>
                <w:sz w:val="16"/>
              </w:rPr>
              <w:t>Variable / key</w:t>
            </w:r>
          </w:p>
        </w:tc>
        <w:tc>
          <w:tcPr>
            <w:tcW w:type="dxa" w:w="3100"/>
            <w:shd w:fill="E8EEF5"/>
            <w:vAlign w:val="center"/>
            <w:tcMar>
              <w:top w:w="70" w:type="dxa"/>
              <w:bottom w:w="70" w:type="dxa"/>
              <w:start w:w="100" w:type="dxa"/>
              <w:end w:w="100" w:type="dxa"/>
            </w:tcMar>
          </w:tcPr>
          <w:p>
            <w:pPr>
              <w:jc w:val="center"/>
            </w:pPr>
            <w:r>
              <w:rPr>
                <w:rFonts w:ascii="Calibri" w:hAnsi="Calibri"/>
                <w:b/>
                <w:color w:val="1F4D78"/>
                <w:sz w:val="16"/>
              </w:rPr>
              <w:t>Description / units</w:t>
            </w:r>
          </w:p>
        </w:tc>
        <w:tc>
          <w:tcPr>
            <w:tcW w:type="dxa" w:w="2100"/>
            <w:shd w:fill="E8EEF5"/>
            <w:vAlign w:val="center"/>
            <w:tcMar>
              <w:top w:w="70" w:type="dxa"/>
              <w:bottom w:w="70" w:type="dxa"/>
              <w:start w:w="100" w:type="dxa"/>
              <w:end w:w="100" w:type="dxa"/>
            </w:tcMar>
          </w:tcPr>
          <w:p>
            <w:pPr>
              <w:jc w:val="center"/>
            </w:pPr>
            <w:r>
              <w:rPr>
                <w:rFonts w:ascii="Calibri" w:hAnsi="Calibri"/>
                <w:b/>
                <w:color w:val="1F4D78"/>
                <w:sz w:val="16"/>
              </w:rPr>
              <w:t>Values</w:t>
            </w:r>
          </w:p>
        </w:tc>
        <w:tc>
          <w:tcPr>
            <w:tcW w:type="dxa" w:w="1700"/>
            <w:shd w:fill="E8EEF5"/>
            <w:vAlign w:val="center"/>
            <w:tcMar>
              <w:top w:w="70" w:type="dxa"/>
              <w:bottom w:w="70" w:type="dxa"/>
              <w:start w:w="100" w:type="dxa"/>
              <w:end w:w="100" w:type="dxa"/>
            </w:tcMar>
          </w:tcPr>
          <w:p>
            <w:pPr>
              <w:jc w:val="center"/>
            </w:pPr>
            <w:r>
              <w:rPr>
                <w:rFonts w:ascii="Calibri" w:hAnsi="Calibri"/>
                <w:b/>
                <w:color w:val="1F4D78"/>
                <w:sz w:val="16"/>
              </w:rPr>
              <w:t>Provenance</w:t>
            </w:r>
          </w:p>
        </w:tc>
        <w:tc>
          <w:tcPr>
            <w:tcW w:type="dxa" w:w="1400"/>
            <w:shd w:fill="E8EEF5"/>
            <w:vAlign w:val="center"/>
            <w:tcMar>
              <w:top w:w="70" w:type="dxa"/>
              <w:bottom w:w="70" w:type="dxa"/>
              <w:start w:w="100" w:type="dxa"/>
              <w:end w:w="100" w:type="dxa"/>
            </w:tcMar>
          </w:tcPr>
          <w:p>
            <w:pPr>
              <w:jc w:val="center"/>
            </w:pPr>
            <w:r>
              <w:rPr>
                <w:rFonts w:ascii="Calibri" w:hAnsi="Calibri"/>
                <w:b/>
                <w:color w:val="1F4D78"/>
                <w:sz w:val="16"/>
              </w:rPr>
              <w:t>Status</w:t>
            </w:r>
          </w:p>
        </w:tc>
        <w:tc>
          <w:tcPr>
            <w:tcW w:type="dxa" w:w="7500"/>
            <w:shd w:fill="E8EEF5"/>
            <w:vAlign w:val="center"/>
            <w:tcMar>
              <w:top w:w="70" w:type="dxa"/>
              <w:bottom w:w="70" w:type="dxa"/>
              <w:start w:w="100" w:type="dxa"/>
              <w:end w:w="100" w:type="dxa"/>
            </w:tcMar>
          </w:tcPr>
          <w:p>
            <w:pPr>
              <w:jc w:val="center"/>
            </w:pPr>
            <w:r>
              <w:rPr>
                <w:rFonts w:ascii="Calibri" w:hAnsi="Calibri"/>
                <w:b/>
                <w:color w:val="1F4D78"/>
                <w:sz w:val="16"/>
              </w:rPr>
              <w:t>Notes / source</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cfg_OsmiaPopulationDynamicsFile</w:t>
              <w:br/>
              <w:t>OSMIA_POPULATION_DYNAMICS_FILE</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File name for daily recruitment and mortality output</w:t>
              <w:br/>
              <w:t>Units: — (file name)</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OsmiaPopulationDynamics.txt</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Osmia_Population_Manager.cpp:196</w:t>
            </w:r>
          </w:p>
        </w:tc>
      </w:tr>
      <w:tr>
        <w:tc>
          <w:tcPr>
            <w:tcW w:type="dxa" w:w="2200"/>
            <w:vAlign w:val="center"/>
            <w:tcMar>
              <w:top w:w="70" w:type="dxa"/>
              <w:bottom w:w="70" w:type="dxa"/>
              <w:start w:w="100" w:type="dxa"/>
              <w:end w:w="100" w:type="dxa"/>
            </w:tcMar>
          </w:tcPr>
          <w:p>
            <w:pPr>
              <w:spacing w:before="0" w:after="0" w:line="240" w:lineRule="auto"/>
              <w:jc w:val="left"/>
            </w:pPr>
            <w:r>
              <w:rPr>
                <w:rFonts w:ascii="Calibri" w:hAnsi="Calibri"/>
                <w:sz w:val="14"/>
              </w:rPr>
              <w:t>cfg_OsmiaStorePopulationDynamics</w:t>
              <w:br/>
              <w:t>OSMIA_STORE_POPULATION_DYNAMICS</w:t>
              <w:br/>
              <w:t>—</w:t>
            </w:r>
          </w:p>
        </w:tc>
        <w:tc>
          <w:tcPr>
            <w:tcW w:type="dxa" w:w="3100"/>
            <w:vAlign w:val="center"/>
            <w:tcMar>
              <w:top w:w="70" w:type="dxa"/>
              <w:bottom w:w="70" w:type="dxa"/>
              <w:start w:w="100" w:type="dxa"/>
              <w:end w:w="100" w:type="dxa"/>
            </w:tcMar>
          </w:tcPr>
          <w:p>
            <w:pPr>
              <w:spacing w:before="0" w:after="0" w:line="240" w:lineRule="auto"/>
              <w:jc w:val="left"/>
            </w:pPr>
            <w:r>
              <w:rPr>
                <w:rFonts w:ascii="Calibri" w:hAnsi="Calibri"/>
                <w:sz w:val="14"/>
              </w:rPr>
              <w:t>Switch controlling daily recruitment and mortality output</w:t>
              <w:br/>
              <w:t>Units: — (switch)</w:t>
            </w:r>
          </w:p>
        </w:tc>
        <w:tc>
          <w:tcPr>
            <w:tcW w:type="dxa" w:w="2100"/>
            <w:vAlign w:val="center"/>
            <w:tcMar>
              <w:top w:w="70" w:type="dxa"/>
              <w:bottom w:w="70" w:type="dxa"/>
              <w:start w:w="100" w:type="dxa"/>
              <w:end w:w="100" w:type="dxa"/>
            </w:tcMar>
          </w:tcPr>
          <w:p>
            <w:pPr>
              <w:spacing w:before="0" w:after="0" w:line="240" w:lineRule="auto"/>
              <w:jc w:val="left"/>
            </w:pPr>
            <w:r>
              <w:rPr>
                <w:rFonts w:ascii="Calibri" w:hAnsi="Calibri"/>
                <w:sz w:val="14"/>
              </w:rPr>
              <w:t>Default: false</w:t>
              <w:br/>
              <w:t>Formal Model: =</w:t>
              <w:br/>
              <w:t>Range: —</w:t>
            </w:r>
          </w:p>
        </w:tc>
        <w:tc>
          <w:tcPr>
            <w:tcW w:type="dxa" w:w="1700"/>
            <w:vAlign w:val="center"/>
            <w:tcMar>
              <w:top w:w="70" w:type="dxa"/>
              <w:bottom w:w="70" w:type="dxa"/>
              <w:start w:w="100" w:type="dxa"/>
              <w:end w:w="100" w:type="dxa"/>
            </w:tcMar>
          </w:tcPr>
          <w:p>
            <w:pPr>
              <w:spacing w:before="0" w:after="0" w:line="240" w:lineRule="auto"/>
              <w:jc w:val="left"/>
            </w:pPr>
            <w:r>
              <w:rPr>
                <w:rFonts w:ascii="Calibri" w:hAnsi="Calibri"/>
                <w:sz w:val="14"/>
              </w:rPr>
              <w:t>Not documented in the source</w:t>
              <w:br/>
              <w:t>Technical</w:t>
            </w:r>
          </w:p>
        </w:tc>
        <w:tc>
          <w:tcPr>
            <w:tcW w:type="dxa" w:w="1400"/>
            <w:vAlign w:val="center"/>
            <w:tcMar>
              <w:top w:w="70" w:type="dxa"/>
              <w:bottom w:w="70" w:type="dxa"/>
              <w:start w:w="100" w:type="dxa"/>
              <w:end w:w="100" w:type="dxa"/>
            </w:tcMar>
          </w:tcPr>
          <w:p>
            <w:pPr>
              <w:spacing w:before="0" w:after="0" w:line="240" w:lineRule="auto"/>
              <w:jc w:val="center"/>
            </w:pPr>
            <w:r>
              <w:rPr>
                <w:rFonts w:ascii="Calibri" w:hAnsi="Calibri"/>
                <w:sz w:val="14"/>
              </w:rPr>
              <w:t>Active</w:t>
            </w:r>
          </w:p>
        </w:tc>
        <w:tc>
          <w:tcPr>
            <w:tcW w:type="dxa" w:w="7500"/>
            <w:vAlign w:val="center"/>
            <w:tcMar>
              <w:top w:w="70" w:type="dxa"/>
              <w:bottom w:w="70" w:type="dxa"/>
              <w:start w:w="100" w:type="dxa"/>
              <w:end w:w="100" w:type="dxa"/>
            </w:tcMar>
          </w:tcPr>
          <w:p>
            <w:pPr>
              <w:spacing w:before="0" w:after="0" w:line="240" w:lineRule="auto"/>
              <w:jc w:val="left"/>
            </w:pPr>
            <w:r>
              <w:rPr>
                <w:rFonts w:ascii="Calibri" w:hAnsi="Calibri"/>
                <w:sz w:val="14"/>
              </w:rPr>
              <w:t>—</w:t>
              <w:br/>
              <w:t>Source: Osmia_Population_Manager.cpp:194</w:t>
            </w:r>
          </w:p>
        </w:tc>
      </w:tr>
    </w:tbl>
    <w:sectPr w:rsidR="00FC693F" w:rsidRPr="0006063C" w:rsidSect="00034616">
      <w:headerReference w:type="default" r:id="rId9"/>
      <w:footerReference w:type="default" r:id="rId10"/>
      <w:pgSz w:w="20160" w:h="12240" w:orient="landscape"/>
      <w:pgMar w:top="648" w:right="720" w:bottom="648" w:left="72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55555"/>
        <w:sz w:val="18"/>
      </w:rPr>
      <w:t>Supplementary Appendix A | Source-verified parameter 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A: source-verified parameter table</dc:title>
  <dc:subject>MIDox supplementary material release candidate</dc:subject>
  <dc:creator>Christopher J. Topping; Ewa Ziółkowska; Xiaodong Duan</dc:creator>
  <cp:keywords/>
  <dc:description>generated by python-docx</dc:description>
  <cp:lastModifiedBy/>
  <cp:revision>1</cp:revision>
  <dcterms:created xsi:type="dcterms:W3CDTF">2013-12-23T23:15:00Z</dcterms:created>
  <dcterms:modified xsi:type="dcterms:W3CDTF">2013-12-23T23:15:00Z</dcterms:modified>
  <cp:category/>
</cp:coreProperties>
</file>