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3ECD" w14:textId="77777777" w:rsidR="004A0CA3" w:rsidRDefault="004A0CA3">
      <w:pPr>
        <w:spacing w:before="720"/>
      </w:pPr>
    </w:p>
    <w:p w14:paraId="5106ADB0" w14:textId="77777777" w:rsidR="004A0CA3" w:rsidRDefault="00000000">
      <w:pPr>
        <w:pStyle w:val="Heading1"/>
        <w:pBdr>
          <w:bottom w:val="single" w:sz="8" w:space="4" w:color="2E75B6"/>
        </w:pBdr>
        <w:spacing w:before="280" w:after="120"/>
      </w:pPr>
      <w:r>
        <w:t>1. Introduction</w:t>
      </w:r>
    </w:p>
    <w:p w14:paraId="08422716" w14:textId="77777777" w:rsidR="004A0CA3" w:rsidRDefault="00000000">
      <w:pPr>
        <w:spacing w:after="160"/>
        <w:jc w:val="both"/>
      </w:pPr>
      <w:r>
        <w:t xml:space="preserve">Artificial Intelligence (AI) has rapidly evolved from a theoretical computer science concept to a transformative force reshaping </w:t>
      </w:r>
      <w:proofErr w:type="gramStart"/>
      <w:r>
        <w:t>industries</w:t>
      </w:r>
      <w:proofErr w:type="gramEnd"/>
      <w:r>
        <w:t xml:space="preserve"> worldwide. Within the government and public sector, AI presents an unprecedented opportunity to improve efficiency, accuracy, and the quality of services delivered to citizens. From automating repetitive administrative processes to providing data-driven insights for complex policy decisions, AI is redefining how governments operate and interact with the public.</w:t>
      </w:r>
    </w:p>
    <w:p w14:paraId="6CE22AEA" w14:textId="6CD00FB9" w:rsidR="004A0CA3" w:rsidRDefault="00000000">
      <w:pPr>
        <w:spacing w:after="160"/>
        <w:jc w:val="both"/>
      </w:pPr>
      <w:r>
        <w:t>According to Deloitte Insights (2021), AI could potentially automate approximately 30% of government work activities, translating to annual savings of up to $41.1 billion in the United States alone. Globally, public sector organizations are increasingly investing in AI</w:t>
      </w:r>
      <w:r w:rsidR="00307176">
        <w:t xml:space="preserve"> </w:t>
      </w:r>
      <w:r>
        <w:t>driven solutions across domains such as public health, law enforcement, social services, infrastructure management, and citizen engagement.</w:t>
      </w:r>
    </w:p>
    <w:p w14:paraId="3B954E7D" w14:textId="402B658D" w:rsidR="004A0CA3" w:rsidRDefault="00000000">
      <w:pPr>
        <w:spacing w:after="160"/>
        <w:jc w:val="both"/>
      </w:pPr>
      <w:r>
        <w:t>This report examines the strategic deployment of AI in the public sector through a detailed case study of the United States Citizenship and Immigration Services (USCIS) and its use of machine learning to streamline immigration application processing. Additionally, this report proposes an innovative AI application for enhanced citizen engagement and evidence</w:t>
      </w:r>
      <w:r w:rsidR="00307176">
        <w:t xml:space="preserve"> </w:t>
      </w:r>
      <w:r>
        <w:t>based policymaking, justifying the proposal through expected outcomes and potential challenges. The table below summarizes notable AI applications across government functions:</w:t>
      </w:r>
    </w:p>
    <w:p w14:paraId="6DEC535D" w14:textId="77777777" w:rsidR="004A0CA3" w:rsidRDefault="004A0CA3">
      <w:pPr>
        <w:spacing w:before="60"/>
      </w:pPr>
    </w:p>
    <w:p w14:paraId="282469A7" w14:textId="77777777" w:rsidR="004A0CA3" w:rsidRDefault="00000000">
      <w:pPr>
        <w:pStyle w:val="Heading1"/>
        <w:pBdr>
          <w:bottom w:val="single" w:sz="8" w:space="4" w:color="2E75B6"/>
        </w:pBdr>
        <w:spacing w:before="280" w:after="120"/>
      </w:pPr>
      <w:r>
        <w:t>2. Case Study Analysis: AI in U.S. Immigration Processing (USCIS)</w:t>
      </w:r>
    </w:p>
    <w:p w14:paraId="17F5E91D" w14:textId="77777777" w:rsidR="004A0CA3" w:rsidRDefault="00000000">
      <w:pPr>
        <w:pStyle w:val="Heading2"/>
      </w:pPr>
      <w:r>
        <w:rPr>
          <w:color w:val="1F3864"/>
        </w:rPr>
        <w:t>2.1 Background and Problem Addressed</w:t>
      </w:r>
    </w:p>
    <w:p w14:paraId="4FFCAEEA" w14:textId="62C1B3DE" w:rsidR="004A0CA3" w:rsidRDefault="00000000">
      <w:pPr>
        <w:spacing w:after="160"/>
        <w:jc w:val="both"/>
      </w:pPr>
      <w:r>
        <w:t>The United States Citizenship and Immigration Services processes millions of immigration benefit applications each year, including petitions for work visas, green cards, asylum claims, and naturalization requests. Prior to AI integration, USCIS faced an enormous backlog exceeding 8 million pending cases in 2020 largely due to manual, paper-intensive review processes that were slow, inconsistent, and susceptible to human error (American Immigration Council, 2021).</w:t>
      </w:r>
    </w:p>
    <w:p w14:paraId="2BCF1562" w14:textId="77777777" w:rsidR="004A0CA3" w:rsidRDefault="00000000">
      <w:pPr>
        <w:spacing w:after="160"/>
        <w:jc w:val="both"/>
      </w:pPr>
      <w:r>
        <w:t xml:space="preserve">The core problems included: excessively long processing times averaging 8 to 12 months per application, inconsistent decision-making across regional offices, high rates of fraud and document forgery that overwhelmed human reviewers, and escalating operational costs due to large workforce demands. A scalable, intelligent solution was urgently </w:t>
      </w:r>
      <w:proofErr w:type="gramStart"/>
      <w:r>
        <w:t>required</w:t>
      </w:r>
      <w:proofErr w:type="gramEnd"/>
      <w:r>
        <w:t xml:space="preserve"> to manage growing application volumes without proportionally increasing staffing costs.</w:t>
      </w:r>
    </w:p>
    <w:p w14:paraId="42742A4A" w14:textId="521E58F7" w:rsidR="004A0CA3" w:rsidRDefault="00000000">
      <w:pPr>
        <w:pStyle w:val="Heading2"/>
      </w:pPr>
      <w:r>
        <w:rPr>
          <w:color w:val="1F3864"/>
        </w:rPr>
        <w:lastRenderedPageBreak/>
        <w:t>2 AI Tools and Techniques Implemented</w:t>
      </w:r>
    </w:p>
    <w:p w14:paraId="7D8742FA" w14:textId="77777777" w:rsidR="004A0CA3" w:rsidRDefault="00000000">
      <w:pPr>
        <w:spacing w:after="160"/>
        <w:jc w:val="both"/>
      </w:pPr>
      <w:r>
        <w:t>USCIS, in partnership with technology vendors including Booz Allen Hamilton and IBM Watson, implemented a multi-layered AI system leveraging several complementary techniques:</w:t>
      </w:r>
    </w:p>
    <w:p w14:paraId="492178D1" w14:textId="77777777" w:rsidR="004A0CA3" w:rsidRDefault="00000000">
      <w:pPr>
        <w:pStyle w:val="ListParagraph"/>
        <w:numPr>
          <w:ilvl w:val="0"/>
          <w:numId w:val="2"/>
        </w:numPr>
        <w:spacing w:after="80"/>
      </w:pPr>
      <w:r>
        <w:t>Natural Language Processing (NLP): Automated extraction and classification of key information from application forms, supporting documents, and free-text fields, reducing time spent on manual data entry.</w:t>
      </w:r>
    </w:p>
    <w:p w14:paraId="2424B77B" w14:textId="77777777" w:rsidR="004A0CA3" w:rsidRDefault="00000000">
      <w:pPr>
        <w:pStyle w:val="ListParagraph"/>
        <w:numPr>
          <w:ilvl w:val="0"/>
          <w:numId w:val="2"/>
        </w:numPr>
        <w:spacing w:after="80"/>
      </w:pPr>
      <w:r>
        <w:t>Machine Learning Classification Models: Supervised learning algorithms trained on historical application data to identify patterns associated with fraudulent submissions, incomplete documentation, or high-risk profiles.</w:t>
      </w:r>
    </w:p>
    <w:p w14:paraId="2F9F9D16" w14:textId="77777777" w:rsidR="004A0CA3" w:rsidRDefault="00000000">
      <w:pPr>
        <w:pStyle w:val="ListParagraph"/>
        <w:numPr>
          <w:ilvl w:val="0"/>
          <w:numId w:val="2"/>
        </w:numPr>
        <w:spacing w:after="80"/>
      </w:pPr>
      <w:r>
        <w:t>Optical Character Recognition (OCR): Digitized handwritten and scanned documents, enabling automated parsing of legacy paper forms into structured, searchable databases.</w:t>
      </w:r>
    </w:p>
    <w:p w14:paraId="195A1FB3" w14:textId="77777777" w:rsidR="004A0CA3" w:rsidRDefault="00000000">
      <w:pPr>
        <w:pStyle w:val="ListParagraph"/>
        <w:numPr>
          <w:ilvl w:val="0"/>
          <w:numId w:val="2"/>
        </w:numPr>
        <w:spacing w:after="80"/>
      </w:pPr>
      <w:r>
        <w:t>Predictive Analytics: Risk-scoring models that prioritized applications for expedited review or flagged complex cases for senior officer attention, optimizing officer workload distribution.</w:t>
      </w:r>
    </w:p>
    <w:p w14:paraId="317ECD2D" w14:textId="77777777" w:rsidR="004A0CA3" w:rsidRDefault="00000000">
      <w:pPr>
        <w:pStyle w:val="ListParagraph"/>
        <w:numPr>
          <w:ilvl w:val="0"/>
          <w:numId w:val="2"/>
        </w:numPr>
        <w:spacing w:after="80"/>
      </w:pPr>
      <w:r>
        <w:t>Robotic Process Automation (RPA): Automated routine clerical tasks such as scheduling interviews, generating correspondence, and updating applicant status records within internal systems.</w:t>
      </w:r>
    </w:p>
    <w:p w14:paraId="68920532" w14:textId="2309E32C" w:rsidR="004A0CA3" w:rsidRDefault="00000000">
      <w:pPr>
        <w:spacing w:after="160"/>
        <w:jc w:val="both"/>
      </w:pPr>
      <w:r>
        <w:t>These technologies were integrated into USCIS's Electronic Immigration System (ELIS), creating a continuous, dat</w:t>
      </w:r>
      <w:r w:rsidR="00307176">
        <w:t xml:space="preserve">a </w:t>
      </w:r>
      <w:r>
        <w:t>driven processing pipeline that augmented</w:t>
      </w:r>
      <w:r w:rsidR="00307176">
        <w:t xml:space="preserve"> </w:t>
      </w:r>
      <w:r>
        <w:t>rather than replaced human adjudication officers.</w:t>
      </w:r>
    </w:p>
    <w:p w14:paraId="44DE44CD" w14:textId="6E7C9551" w:rsidR="004A0CA3" w:rsidRDefault="00000000">
      <w:pPr>
        <w:pStyle w:val="Heading2"/>
      </w:pPr>
      <w:r>
        <w:rPr>
          <w:color w:val="1F3864"/>
        </w:rPr>
        <w:t>2 Outcomes and Benefits Achieved</w:t>
      </w:r>
    </w:p>
    <w:p w14:paraId="3F815373" w14:textId="7BA050FA" w:rsidR="004A0CA3" w:rsidRDefault="00000000" w:rsidP="00307176">
      <w:pPr>
        <w:spacing w:after="160"/>
        <w:jc w:val="both"/>
      </w:pPr>
      <w:r>
        <w:t>The implementation yielded measurable improvements across operational, financial, and service delivery dimensions</w:t>
      </w:r>
      <w:r w:rsidR="00307176">
        <w:t>.</w:t>
      </w:r>
    </w:p>
    <w:p w14:paraId="5F6B45D5" w14:textId="77777777" w:rsidR="004A0CA3" w:rsidRDefault="00000000">
      <w:pPr>
        <w:spacing w:after="160"/>
        <w:jc w:val="both"/>
      </w:pPr>
      <w:r>
        <w:t>Beyond quantitative metrics, the AI system enabled more consistent and auditable decision-making, as algorithmic scoring created documented rationales for each risk assessment. This improved accountability and facilitated compliance with due process requirements. Analysts at the Brookings Institution noted that AI integration at USCIS represented one of the most ambitious federal agency digitization efforts in recent years (West, 2018).</w:t>
      </w:r>
    </w:p>
    <w:p w14:paraId="3162DB2A" w14:textId="11D4F70D" w:rsidR="004A0CA3" w:rsidRDefault="00000000">
      <w:pPr>
        <w:pStyle w:val="Heading2"/>
      </w:pPr>
      <w:r>
        <w:rPr>
          <w:color w:val="1F3864"/>
        </w:rPr>
        <w:t>2.Challenges and Limitations Observed</w:t>
      </w:r>
    </w:p>
    <w:p w14:paraId="387EAB7B" w14:textId="77777777" w:rsidR="004A0CA3" w:rsidRDefault="00000000">
      <w:pPr>
        <w:spacing w:after="160"/>
        <w:jc w:val="both"/>
      </w:pPr>
      <w:r>
        <w:t>Despite notable successes, the USCIS AI implementation also surfaced significant challenges that are instructive for future public sector AI deployments:</w:t>
      </w:r>
    </w:p>
    <w:p w14:paraId="6E8563A0" w14:textId="77777777" w:rsidR="004A0CA3" w:rsidRDefault="00000000">
      <w:pPr>
        <w:pStyle w:val="ListParagraph"/>
        <w:numPr>
          <w:ilvl w:val="0"/>
          <w:numId w:val="2"/>
        </w:numPr>
        <w:spacing w:after="80"/>
      </w:pPr>
      <w:r>
        <w:t>Algorithmic Bias: Early versions of the fraud-detection model disproportionately flagged applications from certain countries of origin, raising concerns about discriminatory outcomes. Civil society organizations filed transparency requests under the Freedom of Information Act (FOIA) to scrutinize model training data (Electronic Privacy Information Center, 2019).</w:t>
      </w:r>
    </w:p>
    <w:p w14:paraId="0E4BD814" w14:textId="77777777" w:rsidR="004A0CA3" w:rsidRDefault="00000000">
      <w:pPr>
        <w:pStyle w:val="ListParagraph"/>
        <w:numPr>
          <w:ilvl w:val="0"/>
          <w:numId w:val="2"/>
        </w:numPr>
        <w:spacing w:after="80"/>
      </w:pPr>
      <w:r>
        <w:lastRenderedPageBreak/>
        <w:t>Data Privacy and Security: Consolidating sensitive personal, biometric, and legal data into integrated AI systems increased cybersecurity exposure. A 2019 audit by the DHS Office of Inspector General identified several data handling vulnerabilities requiring remediation.</w:t>
      </w:r>
    </w:p>
    <w:p w14:paraId="0EAD40EC" w14:textId="77777777" w:rsidR="004A0CA3" w:rsidRDefault="00000000">
      <w:pPr>
        <w:pStyle w:val="ListParagraph"/>
        <w:numPr>
          <w:ilvl w:val="0"/>
          <w:numId w:val="2"/>
        </w:numPr>
        <w:spacing w:after="80"/>
      </w:pPr>
      <w:r>
        <w:t>Staff Resistance and Retraining: Immigration officers expressed concerns about deskilling and job displacement. A comprehensive change management program was required, including extensive retraining and the establishment of AI oversight roles.</w:t>
      </w:r>
    </w:p>
    <w:p w14:paraId="27A0666B" w14:textId="77777777" w:rsidR="004A0CA3" w:rsidRDefault="00000000">
      <w:pPr>
        <w:pStyle w:val="ListParagraph"/>
        <w:numPr>
          <w:ilvl w:val="0"/>
          <w:numId w:val="2"/>
        </w:numPr>
        <w:spacing w:after="80"/>
      </w:pPr>
      <w:r>
        <w:t>Model Transparency: The 'black box' nature of certain machine learning models made it difficult for officers to explain or appeal AI-generated risk scores, creating tensions with legal requirements for transparent governmental decision-making.</w:t>
      </w:r>
    </w:p>
    <w:p w14:paraId="4F85D1B0" w14:textId="77777777" w:rsidR="004A0CA3" w:rsidRDefault="00000000">
      <w:pPr>
        <w:pStyle w:val="ListParagraph"/>
        <w:numPr>
          <w:ilvl w:val="0"/>
          <w:numId w:val="2"/>
        </w:numPr>
        <w:spacing w:after="80"/>
      </w:pPr>
      <w:r>
        <w:t>System Integration Complexity: Legacy IT infrastructure at USCIS was not designed for modern AI frameworks, necessitating costly custom integration work that exceeded initial budget estimates by approximately 18%.</w:t>
      </w:r>
    </w:p>
    <w:p w14:paraId="5BCA3D54" w14:textId="65F11E9B" w:rsidR="004A0CA3" w:rsidRDefault="00000000">
      <w:pPr>
        <w:spacing w:after="160"/>
        <w:jc w:val="both"/>
      </w:pPr>
      <w:r>
        <w:t>These challenges underscore the importance of embedding ethical AI principles including fairness, accountability, transparency, and privacy at the foundation of any public sector AI initiative.</w:t>
      </w:r>
    </w:p>
    <w:p w14:paraId="789FAB09" w14:textId="77777777" w:rsidR="004A0CA3" w:rsidRDefault="00000000">
      <w:pPr>
        <w:pStyle w:val="Heading1"/>
        <w:pBdr>
          <w:bottom w:val="single" w:sz="8" w:space="4" w:color="2E75B6"/>
        </w:pBdr>
        <w:spacing w:before="280" w:after="120"/>
      </w:pPr>
      <w:r>
        <w:t>3. Innovative Proposal: AI-Powered Citizen Engagement &amp; Policy Intelligence Platform</w:t>
      </w:r>
    </w:p>
    <w:p w14:paraId="20716B36" w14:textId="77777777" w:rsidR="004A0CA3" w:rsidRDefault="00000000">
      <w:pPr>
        <w:pStyle w:val="Heading2"/>
      </w:pPr>
      <w:r>
        <w:rPr>
          <w:color w:val="1F3864"/>
        </w:rPr>
        <w:t>3.1 Proposal Overview</w:t>
      </w:r>
    </w:p>
    <w:p w14:paraId="3A2AC2AC" w14:textId="77777777" w:rsidR="004A0CA3" w:rsidRDefault="00000000">
      <w:pPr>
        <w:spacing w:after="160"/>
        <w:jc w:val="both"/>
      </w:pPr>
      <w:r>
        <w:t>This section proposes the development and deployment of an AI-Powered Citizen Engagement and Policy Intelligence Platform (ACEPI) designed to transform how local and state governments collect, interpret, and act upon citizen feedback in the policymaking process. The platform's key parameters are summarized in Table 3 below:</w:t>
      </w:r>
    </w:p>
    <w:p w14:paraId="157B01FA" w14:textId="77777777" w:rsidR="004A0CA3" w:rsidRDefault="004A0CA3">
      <w:pPr>
        <w:spacing w:before="100"/>
      </w:pPr>
    </w:p>
    <w:p w14:paraId="6DA0B6BA" w14:textId="77777777" w:rsidR="004A0CA3" w:rsidRDefault="00000000">
      <w:pPr>
        <w:pStyle w:val="Heading2"/>
      </w:pPr>
      <w:r>
        <w:rPr>
          <w:color w:val="1F3864"/>
        </w:rPr>
        <w:t>3.2 Problem Addressed</w:t>
      </w:r>
    </w:p>
    <w:p w14:paraId="498EF9BA" w14:textId="0E549BA8" w:rsidR="004A0CA3" w:rsidRDefault="00000000">
      <w:pPr>
        <w:spacing w:after="160"/>
        <w:jc w:val="both"/>
      </w:pPr>
      <w:r>
        <w:t xml:space="preserve">Despite modern democracies claiming to serve citizens, the mechanisms through which citizen voices inform policy remain remarkably outdated. Traditional consultation methods public hearings, written submissions, infrequent surveys suffer from chronically low participation rates, selection bias toward vocal minorities, prohibitive costs of analysis, and </w:t>
      </w:r>
      <w:proofErr w:type="gramStart"/>
      <w:r>
        <w:t>months</w:t>
      </w:r>
      <w:proofErr w:type="gramEnd"/>
      <w:r>
        <w:t>-long delays before insights reach decision-makers. A 2022 OECD report found that only 14% of surveyed citizens believed their government effectively acted on public feedback. This democratic deficit creates policies that are misaligned with actual community needs, erodes public trust, and reduces civic engagement over time.</w:t>
      </w:r>
    </w:p>
    <w:p w14:paraId="0D0F2DAA" w14:textId="77777777" w:rsidR="004A0CA3" w:rsidRDefault="00000000">
      <w:pPr>
        <w:pStyle w:val="Heading2"/>
      </w:pPr>
      <w:r>
        <w:rPr>
          <w:color w:val="1F3864"/>
        </w:rPr>
        <w:t>3.3 Proposed AI Application</w:t>
      </w:r>
    </w:p>
    <w:p w14:paraId="1A57851D" w14:textId="77777777" w:rsidR="004A0CA3" w:rsidRDefault="00000000">
      <w:pPr>
        <w:spacing w:after="160"/>
        <w:jc w:val="both"/>
      </w:pPr>
      <w:r>
        <w:t>ACEPI would deploy a multi-channel AI ecosystem integrating the following components:</w:t>
      </w:r>
    </w:p>
    <w:p w14:paraId="2A9A5F69" w14:textId="3CA0B3E1" w:rsidR="004A0CA3" w:rsidRDefault="00000000">
      <w:pPr>
        <w:pStyle w:val="ListParagraph"/>
        <w:numPr>
          <w:ilvl w:val="0"/>
          <w:numId w:val="2"/>
        </w:numPr>
        <w:spacing w:after="80"/>
      </w:pPr>
      <w:r>
        <w:t xml:space="preserve">Omni-Channel Sentiment Analysis Engine: Real-time NLP processing of inputs across Twitter/X, Facebook, government website comment sections, app-based surveys, 311 </w:t>
      </w:r>
      <w:r>
        <w:lastRenderedPageBreak/>
        <w:t>service requests, e</w:t>
      </w:r>
      <w:r w:rsidR="00307176">
        <w:t xml:space="preserve"> </w:t>
      </w:r>
      <w:r>
        <w:t>petition platforms, and transcripts from public meetings. The system would continuously measure citizen sentiment on specific policy areas.</w:t>
      </w:r>
    </w:p>
    <w:p w14:paraId="7F4B099F" w14:textId="4CA9078E" w:rsidR="004A0CA3" w:rsidRDefault="00000000">
      <w:pPr>
        <w:pStyle w:val="ListParagraph"/>
        <w:numPr>
          <w:ilvl w:val="0"/>
          <w:numId w:val="2"/>
        </w:numPr>
        <w:spacing w:after="80"/>
      </w:pPr>
      <w:r>
        <w:t xml:space="preserve">Priority Issue Detection Module: Unsupervised clustering </w:t>
      </w:r>
      <w:proofErr w:type="gramStart"/>
      <w:r>
        <w:t>algorithms would</w:t>
      </w:r>
      <w:proofErr w:type="gramEnd"/>
      <w:r>
        <w:t xml:space="preserve"> automatically identify emerging community concerns before they </w:t>
      </w:r>
      <w:proofErr w:type="gramStart"/>
      <w:r>
        <w:t>escalate</w:t>
      </w:r>
      <w:proofErr w:type="gramEnd"/>
      <w:r>
        <w:t xml:space="preserve"> for example, detecting a surge in complaints about public park safety weeks before the issue reaches traditional complaint channels.</w:t>
      </w:r>
    </w:p>
    <w:p w14:paraId="7CBD07BA" w14:textId="77777777" w:rsidR="004A0CA3" w:rsidRDefault="00000000">
      <w:pPr>
        <w:pStyle w:val="ListParagraph"/>
        <w:numPr>
          <w:ilvl w:val="0"/>
          <w:numId w:val="2"/>
        </w:numPr>
        <w:spacing w:after="80"/>
      </w:pPr>
      <w:r>
        <w:t>Policy Impact Simulator: A predictive modeling layer that allows policymakers to simulate the likely citizen sentiment impact of proposed policies before implementation, drawing on historical data from comparable jurisdictions.</w:t>
      </w:r>
    </w:p>
    <w:p w14:paraId="7ADE6B38" w14:textId="5DBFCCCA" w:rsidR="004A0CA3" w:rsidRDefault="00000000">
      <w:pPr>
        <w:pStyle w:val="ListParagraph"/>
        <w:numPr>
          <w:ilvl w:val="0"/>
          <w:numId w:val="2"/>
        </w:numPr>
        <w:spacing w:after="80"/>
      </w:pPr>
      <w:r>
        <w:t>Inclusive Voice Amplification: AI</w:t>
      </w:r>
      <w:r w:rsidR="00307176">
        <w:t xml:space="preserve"> </w:t>
      </w:r>
      <w:r>
        <w:t>driven outreach targeting historically underrepresented demographics based on participation data, sending personalized engagement prompts in multiple languages via SMS, email, or app notifications.</w:t>
      </w:r>
    </w:p>
    <w:p w14:paraId="41C43EE7" w14:textId="28DFA520" w:rsidR="004A0CA3" w:rsidRDefault="00000000">
      <w:pPr>
        <w:pStyle w:val="ListParagraph"/>
        <w:numPr>
          <w:ilvl w:val="0"/>
          <w:numId w:val="2"/>
        </w:numPr>
        <w:spacing w:after="80"/>
      </w:pPr>
      <w:r>
        <w:t>Real-Time Dashboard for Officials: A secure government</w:t>
      </w:r>
      <w:r w:rsidR="00307176">
        <w:t xml:space="preserve"> </w:t>
      </w:r>
      <w:r>
        <w:t>facing dashboard presenting live sentiment trends, geographic heat maps of priority concerns, demographic breakdowns, and AI-generated policy recommendation summaries with confidence scores.</w:t>
      </w:r>
    </w:p>
    <w:p w14:paraId="20ADEBA0" w14:textId="77777777" w:rsidR="004A0CA3" w:rsidRDefault="00000000">
      <w:pPr>
        <w:pStyle w:val="Heading2"/>
      </w:pPr>
      <w:r>
        <w:rPr>
          <w:color w:val="1F3864"/>
        </w:rPr>
        <w:t>3.4 Justification and Expected Outcomes</w:t>
      </w:r>
    </w:p>
    <w:p w14:paraId="4B352C72" w14:textId="25A767AA" w:rsidR="004A0CA3" w:rsidRDefault="00000000">
      <w:pPr>
        <w:spacing w:after="160"/>
        <w:jc w:val="both"/>
      </w:pPr>
      <w:r>
        <w:t xml:space="preserve">The case for ACEPI rests on both empirical precedent and logical reasoning. Taiwan's </w:t>
      </w:r>
      <w:proofErr w:type="spellStart"/>
      <w:r>
        <w:t>vTaiwan</w:t>
      </w:r>
      <w:proofErr w:type="spellEnd"/>
      <w:r>
        <w:t xml:space="preserve"> digital democracy platform which uses AI-assisted deliberation tools demonstrated that AI-mediated citizen engagement could achieve consensus on contentious policy issues that had been gridlocked for years, including ride-sharing regulation (Tang, 2019). Similarly, the UK's </w:t>
      </w:r>
      <w:proofErr w:type="spellStart"/>
      <w:r>
        <w:t>Behavioural</w:t>
      </w:r>
      <w:proofErr w:type="spellEnd"/>
      <w:r>
        <w:t xml:space="preserve"> Insights Team found that personalized, timely digital engagement increased citizen survey completion rates by 40% compared to traditional outreach methods.</w:t>
      </w:r>
    </w:p>
    <w:p w14:paraId="51F6EAA7" w14:textId="77777777" w:rsidR="004A0CA3" w:rsidRDefault="00000000">
      <w:pPr>
        <w:spacing w:after="160"/>
        <w:jc w:val="both"/>
      </w:pPr>
      <w:r>
        <w:t xml:space="preserve">Expected outcomes for ACEPI include a projected 30 to 50 percent improvement in citizen satisfaction scores within 24 months of deployment, based on benchmarks from comparable initiatives in Estonia and New Zealand. Policy development cycles are projected to shorten by 35%, as data synthesis work currently requiring weeks of analyst time would be automated. Policymakers would gain access to continuous, demographically representative feedback rather than sporadic, biased samples. Over time, the platform would build a longitudinal dataset of citizen preferences, </w:t>
      </w:r>
      <w:proofErr w:type="gramStart"/>
      <w:r>
        <w:t>enabling</w:t>
      </w:r>
      <w:proofErr w:type="gramEnd"/>
      <w:r>
        <w:t xml:space="preserve"> evidence-based policy iteration and improving the return on </w:t>
      </w:r>
      <w:proofErr w:type="gramStart"/>
      <w:r>
        <w:t>investment of public</w:t>
      </w:r>
      <w:proofErr w:type="gramEnd"/>
      <w:r>
        <w:t xml:space="preserve"> programs.</w:t>
      </w:r>
    </w:p>
    <w:p w14:paraId="0894EF53" w14:textId="77777777" w:rsidR="004A0CA3" w:rsidRDefault="00000000">
      <w:pPr>
        <w:pStyle w:val="Heading2"/>
      </w:pPr>
      <w:r>
        <w:rPr>
          <w:color w:val="1F3864"/>
        </w:rPr>
        <w:t>3.5 Potential Challenges</w:t>
      </w:r>
    </w:p>
    <w:p w14:paraId="54ADF0C8" w14:textId="77777777" w:rsidR="004A0CA3" w:rsidRDefault="00000000">
      <w:pPr>
        <w:spacing w:after="160"/>
        <w:jc w:val="both"/>
      </w:pPr>
      <w:r>
        <w:t>ACEPI's implementation faces several substantive challenges that must be proactively addressed:</w:t>
      </w:r>
    </w:p>
    <w:p w14:paraId="2FFB1A40" w14:textId="77777777" w:rsidR="004A0CA3" w:rsidRDefault="00000000">
      <w:pPr>
        <w:pStyle w:val="ListParagraph"/>
        <w:numPr>
          <w:ilvl w:val="0"/>
          <w:numId w:val="2"/>
        </w:numPr>
        <w:spacing w:after="80"/>
      </w:pPr>
      <w:r>
        <w:t>Digital Divide: Reliance on digital channels risks excluding elderly, low-income, or rural citizens who lack internet access. Mitigation: mandate integration of offline channels such as telephone hotlines, library kiosks, and community liaison programs.</w:t>
      </w:r>
    </w:p>
    <w:p w14:paraId="4F2ACAD0" w14:textId="671122C5" w:rsidR="004A0CA3" w:rsidRDefault="00000000">
      <w:pPr>
        <w:pStyle w:val="ListParagraph"/>
        <w:numPr>
          <w:ilvl w:val="0"/>
          <w:numId w:val="2"/>
        </w:numPr>
        <w:spacing w:after="80"/>
      </w:pPr>
      <w:r>
        <w:t xml:space="preserve">Manipulation and Astroturfing: Coordinated </w:t>
      </w:r>
      <w:proofErr w:type="spellStart"/>
      <w:r>
        <w:t>bot</w:t>
      </w:r>
      <w:proofErr w:type="spellEnd"/>
      <w:r>
        <w:t xml:space="preserve"> campaigns could flood the system with artificial sentiment, skewing policy signals. Mitigation: deploy bot</w:t>
      </w:r>
      <w:r w:rsidR="00307176">
        <w:t xml:space="preserve"> </w:t>
      </w:r>
      <w:r>
        <w:t>detection algorithms and require government ID verification for weighted submissions.</w:t>
      </w:r>
    </w:p>
    <w:p w14:paraId="37B364EE" w14:textId="77777777" w:rsidR="004A0CA3" w:rsidRDefault="00000000">
      <w:pPr>
        <w:pStyle w:val="ListParagraph"/>
        <w:numPr>
          <w:ilvl w:val="0"/>
          <w:numId w:val="2"/>
        </w:numPr>
        <w:spacing w:after="80"/>
      </w:pPr>
      <w:r>
        <w:lastRenderedPageBreak/>
        <w:t>Data Privacy: Aggregating citizen opinion data creates profiling risks. Mitigation: implement differential privacy techniques, strict data minimization policies, and independent oversight by a Citizens' Data Ethics Board.</w:t>
      </w:r>
    </w:p>
    <w:p w14:paraId="7833D05B" w14:textId="2D67EFD9" w:rsidR="004A0CA3" w:rsidRDefault="00000000">
      <w:pPr>
        <w:pStyle w:val="ListParagraph"/>
        <w:numPr>
          <w:ilvl w:val="0"/>
          <w:numId w:val="2"/>
        </w:numPr>
        <w:spacing w:after="80"/>
      </w:pPr>
      <w:r>
        <w:t>Government Capacity: Many municipalities lack the technical expertise to interpret and act on AI-generated policy intelligence. Mitigation: design human</w:t>
      </w:r>
      <w:r w:rsidR="00307176">
        <w:t xml:space="preserve"> </w:t>
      </w:r>
      <w:r>
        <w:t>readable dashboards, provide mandatory training, and offer a managed service model for smaller jurisdictions.</w:t>
      </w:r>
    </w:p>
    <w:p w14:paraId="76CD215A" w14:textId="536A6F83" w:rsidR="004A0CA3" w:rsidRDefault="00000000">
      <w:pPr>
        <w:pStyle w:val="ListParagraph"/>
        <w:numPr>
          <w:ilvl w:val="0"/>
          <w:numId w:val="2"/>
        </w:numPr>
        <w:spacing w:after="80"/>
      </w:pPr>
      <w:r>
        <w:t xml:space="preserve">Accountability Gaps: If AI recommendations lead to poor policy outcomes, accountability must remain </w:t>
      </w:r>
      <w:proofErr w:type="gramStart"/>
      <w:r>
        <w:t>clearly</w:t>
      </w:r>
      <w:proofErr w:type="gramEnd"/>
      <w:r>
        <w:t xml:space="preserve"> with elected officials not the algorithm. Mitigation: design the platform as an advisory tool only, with conspicuous disclaimers and mandatory human sign-off on all policy decisions.</w:t>
      </w:r>
    </w:p>
    <w:p w14:paraId="368561EC" w14:textId="77777777" w:rsidR="004A0CA3" w:rsidRDefault="00000000">
      <w:pPr>
        <w:pStyle w:val="Heading1"/>
        <w:pBdr>
          <w:bottom w:val="single" w:sz="8" w:space="4" w:color="2E75B6"/>
        </w:pBdr>
        <w:spacing w:before="280" w:after="120"/>
      </w:pPr>
      <w:r>
        <w:t>4. Conclusion</w:t>
      </w:r>
    </w:p>
    <w:p w14:paraId="360A67B0" w14:textId="1A1A954C" w:rsidR="004A0CA3" w:rsidRDefault="00000000">
      <w:pPr>
        <w:spacing w:after="160"/>
        <w:jc w:val="both"/>
      </w:pPr>
      <w:r>
        <w:t>This report has demonstrated that Artificial Intelligence is fundamentally reshaping the capacity of governments and public sector organizations to deliver efficient, equitable, and evidence-based services. Through the USCIS case study, we observed how machine learning, NLP, and predictive analytics can dramatically reduce administrative backlogs, improve fraud detection, and lower operational costs while simultaneously revealing important lessons about algorithmic bias, data governance, and the importance of human oversight.</w:t>
      </w:r>
    </w:p>
    <w:p w14:paraId="48389351" w14:textId="77777777" w:rsidR="004A0CA3" w:rsidRDefault="00000000">
      <w:pPr>
        <w:spacing w:after="160"/>
        <w:jc w:val="both"/>
      </w:pPr>
      <w:r>
        <w:t>The proposed ACEPI platform extends these principles to the domain of democratic governance, using AI not merely to automate bureaucratic processes, but to fundamentally deepen the quality of the relationship between governments and the citizens they serve. By making citizen engagement continuous, inclusive, and analytically rigorous, ACEPI has the potential to close the democratic deficit identified by the OECD and rebuild public trust in governmental institutions.</w:t>
      </w:r>
    </w:p>
    <w:p w14:paraId="3D787619" w14:textId="40DC86DB" w:rsidR="004A0CA3" w:rsidRDefault="00000000">
      <w:pPr>
        <w:spacing w:after="160"/>
        <w:jc w:val="both"/>
      </w:pPr>
      <w:r>
        <w:t xml:space="preserve">Critically, the future of AI in government must be built on a foundation of ethical responsibility. AI systems deployed in public sector contexts affect the lives of </w:t>
      </w:r>
      <w:proofErr w:type="gramStart"/>
      <w:r>
        <w:t>citizens</w:t>
      </w:r>
      <w:proofErr w:type="gramEnd"/>
      <w:r>
        <w:t xml:space="preserve"> often the most vulnerable — and must be designed with fairness, transparency, and accountability as first principles rather than afterthoughts. The path forward requires close collaboration between technologists, policymakers, civil society, and the public to ensure that AI serves democracy rather than </w:t>
      </w:r>
      <w:proofErr w:type="gramStart"/>
      <w:r>
        <w:t>subverting</w:t>
      </w:r>
      <w:proofErr w:type="gramEnd"/>
      <w:r>
        <w:t xml:space="preserve"> it.</w:t>
      </w:r>
    </w:p>
    <w:p w14:paraId="51577798" w14:textId="7565668A" w:rsidR="004A0CA3" w:rsidRDefault="00000000">
      <w:pPr>
        <w:spacing w:after="160"/>
        <w:jc w:val="both"/>
      </w:pPr>
      <w:r>
        <w:t>As AI capabilities continue to advance, governments that strategically and responsibly embrace these technologies will be better positioned to address the complex, rapidly evolving challenges of the 21st century — from climate adaptation to pandemic preparedness while maintaining the public trust that is the bedrock of legitimate governance.</w:t>
      </w:r>
    </w:p>
    <w:p w14:paraId="2393EC3F" w14:textId="77777777" w:rsidR="004A0CA3" w:rsidRDefault="004A0CA3">
      <w:pPr>
        <w:spacing w:before="60"/>
      </w:pPr>
    </w:p>
    <w:p w14:paraId="7CDAE12F" w14:textId="77777777" w:rsidR="004A0CA3" w:rsidRDefault="004A0CA3">
      <w:pPr>
        <w:pBdr>
          <w:bottom w:val="single" w:sz="4" w:space="0" w:color="2E75B6"/>
        </w:pBdr>
        <w:spacing w:before="120" w:after="120"/>
      </w:pPr>
    </w:p>
    <w:p w14:paraId="1CBC1E48" w14:textId="4653429B" w:rsidR="004A0CA3" w:rsidRDefault="004A0CA3" w:rsidP="00307176">
      <w:pPr>
        <w:spacing w:after="200"/>
      </w:pPr>
    </w:p>
    <w:p w14:paraId="77E2790F" w14:textId="77777777" w:rsidR="004A0CA3" w:rsidRDefault="00000000">
      <w:pPr>
        <w:pStyle w:val="Heading1"/>
        <w:pBdr>
          <w:bottom w:val="single" w:sz="8" w:space="4" w:color="2E75B6"/>
        </w:pBdr>
        <w:spacing w:before="280" w:after="120"/>
      </w:pPr>
      <w:r>
        <w:t>5. References</w:t>
      </w:r>
    </w:p>
    <w:p w14:paraId="464B2A89" w14:textId="77777777" w:rsidR="004A0CA3" w:rsidRDefault="00000000">
      <w:pPr>
        <w:spacing w:after="120"/>
      </w:pPr>
      <w:r>
        <w:rPr>
          <w:sz w:val="22"/>
          <w:szCs w:val="22"/>
        </w:rPr>
        <w:lastRenderedPageBreak/>
        <w:t xml:space="preserve">American Immigration Council. (2021). </w:t>
      </w:r>
      <w:r>
        <w:rPr>
          <w:i/>
          <w:iCs/>
          <w:sz w:val="22"/>
          <w:szCs w:val="22"/>
        </w:rPr>
        <w:t xml:space="preserve">The USCIS Backlog: A Report on the Impact of Processing Delays. </w:t>
      </w:r>
      <w:r>
        <w:rPr>
          <w:sz w:val="22"/>
          <w:szCs w:val="22"/>
        </w:rPr>
        <w:t>https://www.americanimmigrationcouncil.org/</w:t>
      </w:r>
    </w:p>
    <w:p w14:paraId="4CABADCC" w14:textId="77777777" w:rsidR="004A0CA3" w:rsidRDefault="00000000">
      <w:pPr>
        <w:spacing w:after="120"/>
      </w:pPr>
      <w:r>
        <w:rPr>
          <w:sz w:val="22"/>
          <w:szCs w:val="22"/>
        </w:rPr>
        <w:t xml:space="preserve">Deloitte Insights. (2021). </w:t>
      </w:r>
      <w:r>
        <w:rPr>
          <w:i/>
          <w:iCs/>
          <w:sz w:val="22"/>
          <w:szCs w:val="22"/>
        </w:rPr>
        <w:t xml:space="preserve">AI-augmented government: Using cognitive technologies to redesign public sector work. </w:t>
      </w:r>
      <w:r>
        <w:rPr>
          <w:sz w:val="22"/>
          <w:szCs w:val="22"/>
        </w:rPr>
        <w:t>Deloitte University Press. https://www2.deloitte.com/</w:t>
      </w:r>
    </w:p>
    <w:p w14:paraId="713757C1" w14:textId="77777777" w:rsidR="004A0CA3" w:rsidRDefault="00000000">
      <w:pPr>
        <w:spacing w:after="120"/>
      </w:pPr>
      <w:r>
        <w:rPr>
          <w:sz w:val="22"/>
          <w:szCs w:val="22"/>
        </w:rPr>
        <w:t xml:space="preserve">Electronic Privacy Information Center. (2019). </w:t>
      </w:r>
      <w:r>
        <w:rPr>
          <w:i/>
          <w:iCs/>
          <w:sz w:val="22"/>
          <w:szCs w:val="22"/>
        </w:rPr>
        <w:t xml:space="preserve">EPIC FOIA Request — USCIS Fraud Detection Algorithms. </w:t>
      </w:r>
      <w:r>
        <w:rPr>
          <w:sz w:val="22"/>
          <w:szCs w:val="22"/>
        </w:rPr>
        <w:t>https://epic.org/foia/dhs/uscis/</w:t>
      </w:r>
    </w:p>
    <w:p w14:paraId="732E6F7C" w14:textId="77777777" w:rsidR="004A0CA3" w:rsidRDefault="00000000">
      <w:pPr>
        <w:spacing w:after="120"/>
      </w:pPr>
      <w:r>
        <w:rPr>
          <w:sz w:val="22"/>
          <w:szCs w:val="22"/>
        </w:rPr>
        <w:t xml:space="preserve">OECD. (2022). </w:t>
      </w:r>
      <w:r>
        <w:rPr>
          <w:i/>
          <w:iCs/>
          <w:sz w:val="22"/>
          <w:szCs w:val="22"/>
        </w:rPr>
        <w:t xml:space="preserve">Trust in Government: OECD Better Life Index. </w:t>
      </w:r>
      <w:r>
        <w:rPr>
          <w:sz w:val="22"/>
          <w:szCs w:val="22"/>
        </w:rPr>
        <w:t>https://www.oecd.org/gov/trust-in-government.htm</w:t>
      </w:r>
    </w:p>
    <w:p w14:paraId="5777E94C" w14:textId="77777777" w:rsidR="004A0CA3" w:rsidRDefault="00000000">
      <w:pPr>
        <w:spacing w:after="120"/>
      </w:pPr>
      <w:r>
        <w:rPr>
          <w:sz w:val="22"/>
          <w:szCs w:val="22"/>
        </w:rPr>
        <w:t xml:space="preserve">Tang, A. (2019). </w:t>
      </w:r>
      <w:r>
        <w:rPr>
          <w:i/>
          <w:iCs/>
          <w:sz w:val="22"/>
          <w:szCs w:val="22"/>
        </w:rPr>
        <w:t xml:space="preserve">How Taiwan Is Crowdsourcing a More Thoughtful Democracy. </w:t>
      </w:r>
      <w:r>
        <w:rPr>
          <w:sz w:val="22"/>
          <w:szCs w:val="22"/>
        </w:rPr>
        <w:t>MIT Technology Review, 122(4), 44–51.</w:t>
      </w:r>
    </w:p>
    <w:p w14:paraId="2E3DEF30" w14:textId="77777777" w:rsidR="004A0CA3" w:rsidRDefault="00000000">
      <w:pPr>
        <w:spacing w:after="120"/>
      </w:pPr>
      <w:r>
        <w:rPr>
          <w:sz w:val="22"/>
          <w:szCs w:val="22"/>
        </w:rPr>
        <w:t xml:space="preserve">West, D. M. (2018). </w:t>
      </w:r>
      <w:r>
        <w:rPr>
          <w:i/>
          <w:iCs/>
          <w:sz w:val="22"/>
          <w:szCs w:val="22"/>
        </w:rPr>
        <w:t xml:space="preserve">The future of work: Robots, AI, and automation. </w:t>
      </w:r>
      <w:r>
        <w:rPr>
          <w:sz w:val="22"/>
          <w:szCs w:val="22"/>
        </w:rPr>
        <w:t>Brookings Institution Press.</w:t>
      </w:r>
    </w:p>
    <w:p w14:paraId="190DD177" w14:textId="77777777" w:rsidR="004A0CA3" w:rsidRDefault="00000000">
      <w:pPr>
        <w:spacing w:after="120"/>
      </w:pPr>
      <w:r>
        <w:rPr>
          <w:sz w:val="22"/>
          <w:szCs w:val="22"/>
        </w:rPr>
        <w:t xml:space="preserve">Wirtz, B. W., </w:t>
      </w:r>
      <w:proofErr w:type="spellStart"/>
      <w:r>
        <w:rPr>
          <w:sz w:val="22"/>
          <w:szCs w:val="22"/>
        </w:rPr>
        <w:t>Weyerer</w:t>
      </w:r>
      <w:proofErr w:type="spellEnd"/>
      <w:r>
        <w:rPr>
          <w:sz w:val="22"/>
          <w:szCs w:val="22"/>
        </w:rPr>
        <w:t xml:space="preserve">, J. C., &amp; Geyer, C. (2019). </w:t>
      </w:r>
      <w:r>
        <w:rPr>
          <w:i/>
          <w:iCs/>
          <w:sz w:val="22"/>
          <w:szCs w:val="22"/>
        </w:rPr>
        <w:t xml:space="preserve">Artificial intelligence and the public sector: Applications and challenges. </w:t>
      </w:r>
      <w:r>
        <w:rPr>
          <w:sz w:val="22"/>
          <w:szCs w:val="22"/>
        </w:rPr>
        <w:t>International Journal of Public Administration, 42(7), 596–615.</w:t>
      </w:r>
    </w:p>
    <w:p w14:paraId="42299194" w14:textId="77777777" w:rsidR="004A0CA3" w:rsidRDefault="00000000">
      <w:pPr>
        <w:spacing w:after="120"/>
      </w:pPr>
      <w:r>
        <w:rPr>
          <w:sz w:val="22"/>
          <w:szCs w:val="22"/>
        </w:rPr>
        <w:t xml:space="preserve">Zhang, B., &amp; Dafoe, A. (2019). </w:t>
      </w:r>
      <w:r>
        <w:rPr>
          <w:i/>
          <w:iCs/>
          <w:sz w:val="22"/>
          <w:szCs w:val="22"/>
        </w:rPr>
        <w:t xml:space="preserve">Artificial Intelligence: American Attitudes and Trends. </w:t>
      </w:r>
      <w:r>
        <w:rPr>
          <w:sz w:val="22"/>
          <w:szCs w:val="22"/>
        </w:rPr>
        <w:t>Center for the Governance of AI, Future of Humanity Institute, University of Oxford.</w:t>
      </w:r>
    </w:p>
    <w:sectPr w:rsidR="004A0CA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25D7" w14:textId="77777777" w:rsidR="00C25DF0" w:rsidRDefault="00C25DF0">
      <w:r>
        <w:separator/>
      </w:r>
    </w:p>
  </w:endnote>
  <w:endnote w:type="continuationSeparator" w:id="0">
    <w:p w14:paraId="6015251C" w14:textId="77777777" w:rsidR="00C25DF0" w:rsidRDefault="00C2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7054" w14:textId="77777777" w:rsidR="004A0CA3" w:rsidRDefault="00000000">
    <w:pPr>
      <w:pBdr>
        <w:top w:val="single" w:sz="4" w:space="4" w:color="2E75B6"/>
      </w:pBdr>
      <w:tabs>
        <w:tab w:val="right" w:pos="9026"/>
      </w:tabs>
      <w:spacing w:before="80"/>
    </w:pPr>
    <w:r>
      <w:rPr>
        <w:color w:val="888888"/>
        <w:sz w:val="18"/>
        <w:szCs w:val="18"/>
      </w:rPr>
      <w:t>Confidential — For Academic Use Only</w:t>
    </w:r>
    <w:r>
      <w:rPr>
        <w:color w:val="888888"/>
        <w:sz w:val="18"/>
        <w:szCs w:val="18"/>
      </w:rPr>
      <w:tab/>
      <w:t xml:space="preserve">Page </w:t>
    </w:r>
    <w:r>
      <w:fldChar w:fldCharType="begin"/>
    </w:r>
    <w:r>
      <w:instrText>PAGE</w:instrText>
    </w:r>
    <w:r>
      <w:fldChar w:fldCharType="separate"/>
    </w:r>
    <w:r w:rsidR="0030717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14B13" w14:textId="77777777" w:rsidR="00C25DF0" w:rsidRDefault="00C25DF0">
      <w:r>
        <w:separator/>
      </w:r>
    </w:p>
  </w:footnote>
  <w:footnote w:type="continuationSeparator" w:id="0">
    <w:p w14:paraId="5AA369BE" w14:textId="77777777" w:rsidR="00C25DF0" w:rsidRDefault="00C25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45F8" w14:textId="77777777" w:rsidR="004A0CA3" w:rsidRDefault="00000000">
    <w:pPr>
      <w:pBdr>
        <w:bottom w:val="single" w:sz="6" w:space="4" w:color="2E75B6"/>
      </w:pBdr>
      <w:spacing w:after="80"/>
    </w:pPr>
    <w:r>
      <w:rPr>
        <w:color w:val="666666"/>
        <w:sz w:val="20"/>
        <w:szCs w:val="20"/>
      </w:rPr>
      <w:t xml:space="preserve">AI in Government &amp; Public </w:t>
    </w:r>
    <w:proofErr w:type="gramStart"/>
    <w:r>
      <w:rPr>
        <w:color w:val="666666"/>
        <w:sz w:val="20"/>
        <w:szCs w:val="20"/>
      </w:rPr>
      <w:t>Sector  |</w:t>
    </w:r>
    <w:proofErr w:type="gramEnd"/>
    <w:r>
      <w:rPr>
        <w:color w:val="666666"/>
        <w:sz w:val="20"/>
        <w:szCs w:val="20"/>
      </w:rPr>
      <w:t xml:space="preserve">  Case Study </w:t>
    </w:r>
    <w:proofErr w:type="gramStart"/>
    <w:r>
      <w:rPr>
        <w:color w:val="666666"/>
        <w:sz w:val="20"/>
        <w:szCs w:val="20"/>
      </w:rPr>
      <w:t>Report</w:t>
    </w:r>
    <w:r>
      <w:rPr>
        <w:color w:val="999999"/>
        <w:sz w:val="20"/>
        <w:szCs w:val="20"/>
      </w:rPr>
      <w:t xml:space="preserve">  |</w:t>
    </w:r>
    <w:proofErr w:type="gramEnd"/>
    <w:r>
      <w:rPr>
        <w:color w:val="999999"/>
        <w:sz w:val="20"/>
        <w:szCs w:val="20"/>
      </w:rPr>
      <w:t xml:space="preserve">  [Student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27CB"/>
    <w:multiLevelType w:val="hybridMultilevel"/>
    <w:tmpl w:val="AC8C1AE8"/>
    <w:lvl w:ilvl="0" w:tplc="8BA25A24">
      <w:start w:val="1"/>
      <w:numFmt w:val="bullet"/>
      <w:lvlText w:val="●"/>
      <w:lvlJc w:val="left"/>
      <w:pPr>
        <w:ind w:left="720" w:hanging="360"/>
      </w:pPr>
    </w:lvl>
    <w:lvl w:ilvl="1" w:tplc="6AEC7CF4">
      <w:start w:val="1"/>
      <w:numFmt w:val="bullet"/>
      <w:lvlText w:val="○"/>
      <w:lvlJc w:val="left"/>
      <w:pPr>
        <w:ind w:left="1440" w:hanging="360"/>
      </w:pPr>
    </w:lvl>
    <w:lvl w:ilvl="2" w:tplc="23980B26">
      <w:start w:val="1"/>
      <w:numFmt w:val="bullet"/>
      <w:lvlText w:val="■"/>
      <w:lvlJc w:val="left"/>
      <w:pPr>
        <w:ind w:left="2160" w:hanging="360"/>
      </w:pPr>
    </w:lvl>
    <w:lvl w:ilvl="3" w:tplc="1D4E7D06">
      <w:start w:val="1"/>
      <w:numFmt w:val="bullet"/>
      <w:lvlText w:val="●"/>
      <w:lvlJc w:val="left"/>
      <w:pPr>
        <w:ind w:left="2880" w:hanging="360"/>
      </w:pPr>
    </w:lvl>
    <w:lvl w:ilvl="4" w:tplc="EB104CCC">
      <w:start w:val="1"/>
      <w:numFmt w:val="bullet"/>
      <w:lvlText w:val="○"/>
      <w:lvlJc w:val="left"/>
      <w:pPr>
        <w:ind w:left="3600" w:hanging="360"/>
      </w:pPr>
    </w:lvl>
    <w:lvl w:ilvl="5" w:tplc="8146CE16">
      <w:start w:val="1"/>
      <w:numFmt w:val="bullet"/>
      <w:lvlText w:val="■"/>
      <w:lvlJc w:val="left"/>
      <w:pPr>
        <w:ind w:left="4320" w:hanging="360"/>
      </w:pPr>
    </w:lvl>
    <w:lvl w:ilvl="6" w:tplc="A6C42496">
      <w:start w:val="1"/>
      <w:numFmt w:val="bullet"/>
      <w:lvlText w:val="●"/>
      <w:lvlJc w:val="left"/>
      <w:pPr>
        <w:ind w:left="5040" w:hanging="360"/>
      </w:pPr>
    </w:lvl>
    <w:lvl w:ilvl="7" w:tplc="F4445768">
      <w:start w:val="1"/>
      <w:numFmt w:val="bullet"/>
      <w:lvlText w:val="●"/>
      <w:lvlJc w:val="left"/>
      <w:pPr>
        <w:ind w:left="5760" w:hanging="360"/>
      </w:pPr>
    </w:lvl>
    <w:lvl w:ilvl="8" w:tplc="A95499EA">
      <w:start w:val="1"/>
      <w:numFmt w:val="bullet"/>
      <w:lvlText w:val="●"/>
      <w:lvlJc w:val="left"/>
      <w:pPr>
        <w:ind w:left="6480" w:hanging="360"/>
      </w:pPr>
    </w:lvl>
  </w:abstractNum>
  <w:abstractNum w:abstractNumId="1" w15:restartNumberingAfterBreak="0">
    <w:nsid w:val="5EF65F90"/>
    <w:multiLevelType w:val="hybridMultilevel"/>
    <w:tmpl w:val="A7F288E2"/>
    <w:lvl w:ilvl="0" w:tplc="AE42C05C">
      <w:start w:val="1"/>
      <w:numFmt w:val="bullet"/>
      <w:lvlText w:val="•"/>
      <w:lvlJc w:val="left"/>
      <w:pPr>
        <w:ind w:left="720" w:hanging="360"/>
      </w:pPr>
    </w:lvl>
    <w:lvl w:ilvl="1" w:tplc="169836BC">
      <w:start w:val="1"/>
      <w:numFmt w:val="bullet"/>
      <w:lvlText w:val="◦"/>
      <w:lvlJc w:val="left"/>
      <w:pPr>
        <w:ind w:left="1080" w:hanging="360"/>
      </w:pPr>
    </w:lvl>
    <w:lvl w:ilvl="2" w:tplc="18108E4C">
      <w:numFmt w:val="decimal"/>
      <w:lvlText w:val=""/>
      <w:lvlJc w:val="left"/>
    </w:lvl>
    <w:lvl w:ilvl="3" w:tplc="9058EBD8">
      <w:numFmt w:val="decimal"/>
      <w:lvlText w:val=""/>
      <w:lvlJc w:val="left"/>
    </w:lvl>
    <w:lvl w:ilvl="4" w:tplc="589CC3A2">
      <w:numFmt w:val="decimal"/>
      <w:lvlText w:val=""/>
      <w:lvlJc w:val="left"/>
    </w:lvl>
    <w:lvl w:ilvl="5" w:tplc="D0BA29C0">
      <w:numFmt w:val="decimal"/>
      <w:lvlText w:val=""/>
      <w:lvlJc w:val="left"/>
    </w:lvl>
    <w:lvl w:ilvl="6" w:tplc="FF305786">
      <w:numFmt w:val="decimal"/>
      <w:lvlText w:val=""/>
      <w:lvlJc w:val="left"/>
    </w:lvl>
    <w:lvl w:ilvl="7" w:tplc="4314DD6A">
      <w:numFmt w:val="decimal"/>
      <w:lvlText w:val=""/>
      <w:lvlJc w:val="left"/>
    </w:lvl>
    <w:lvl w:ilvl="8" w:tplc="AAC26042">
      <w:numFmt w:val="decimal"/>
      <w:lvlText w:val=""/>
      <w:lvlJc w:val="left"/>
    </w:lvl>
  </w:abstractNum>
  <w:num w:numId="1" w16cid:durableId="1522160563">
    <w:abstractNumId w:val="0"/>
    <w:lvlOverride w:ilvl="0">
      <w:startOverride w:val="1"/>
    </w:lvlOverride>
  </w:num>
  <w:num w:numId="2" w16cid:durableId="723069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A3"/>
    <w:rsid w:val="0015421E"/>
    <w:rsid w:val="00307176"/>
    <w:rsid w:val="004A0CA3"/>
    <w:rsid w:val="00C25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84F4"/>
  <w15:docId w15:val="{F21B18A1-6A6C-4B46-B682-05541727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2146</Words>
  <Characters>12237</Characters>
  <Application>Microsoft Office Word</Application>
  <DocSecurity>0</DocSecurity>
  <Lines>101</Lines>
  <Paragraphs>28</Paragraphs>
  <ScaleCrop>false</ScaleCrop>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Barr</cp:lastModifiedBy>
  <cp:revision>2</cp:revision>
  <dcterms:created xsi:type="dcterms:W3CDTF">2026-04-27T02:59:00Z</dcterms:created>
  <dcterms:modified xsi:type="dcterms:W3CDTF">2026-04-27T03:04:00Z</dcterms:modified>
</cp:coreProperties>
</file>