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a68053f7d685ed0e4bc5f86190b8d3d97c121d1"/>
    <w:p>
      <w:pPr>
        <w:pStyle w:val="Heading1"/>
      </w:pPr>
      <w:r>
        <w:t xml:space="preserve">Autonomous Navigation and Localization for UAVs in GPS-Denied Environments: A Systematic Literature Review</w:t>
      </w:r>
    </w:p>
    <w:p>
      <w:pPr>
        <w:pStyle w:val="FirstParagraph"/>
      </w:pPr>
      <w:r>
        <w:rPr>
          <w:b/>
          <w:bCs/>
        </w:rPr>
        <w:t xml:space="preserve">Author</w:t>
      </w:r>
      <w:r>
        <w:t xml:space="preserve">: Abhishek Raj, Advanced Autonomous Systems Research Group</w:t>
      </w:r>
      <w:r>
        <w:t xml:space="preserve"> </w:t>
      </w:r>
      <w:r>
        <w:rPr>
          <w:b/>
          <w:bCs/>
        </w:rPr>
        <w:t xml:space="preserve">Target Venue</w:t>
      </w:r>
      <w:r>
        <w:t xml:space="preserve">: IEEE T-RO / IEEE Access / RAS</w:t>
      </w:r>
      <w:r>
        <w:t xml:space="preserve"> </w:t>
      </w:r>
      <w:r>
        <w:rPr>
          <w:b/>
          <w:bCs/>
        </w:rPr>
        <w:t xml:space="preserve">Date</w:t>
      </w:r>
      <w:r>
        <w:t xml:space="preserve">: September 2026</w:t>
      </w:r>
      <w:r>
        <w:t xml:space="preserve"> </w:t>
      </w:r>
      <w:r>
        <w:rPr>
          <w:b/>
          <w:bCs/>
        </w:rPr>
        <w:t xml:space="preserve">Repository</w:t>
      </w:r>
      <w:r>
        <w:t xml:space="preserve">: https://github.com/TheAbhishekraj/GPS_Denied_SLR</w:t>
      </w:r>
      <w:r>
        <w:t xml:space="preserve"> </w:t>
      </w:r>
      <w:r>
        <w:rPr>
          <w:b/>
          <w:bCs/>
        </w:rPr>
        <w:t xml:space="preserve">Figures</w:t>
      </w:r>
      <w:r>
        <w:t xml:space="preserve">: 06_analysis/output/figures_v2/ (9 figures, 300 DPI)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Reliable autonomous operation of UAVs where satellite navigation is unavailable – collapsed buildings, mines, contested EW, urban canyons, forests – is one of robotics’ most consequential unsolved challenges. This SLR synthesizes</w:t>
      </w:r>
      <w:r>
        <w:t xml:space="preserve"> </w:t>
      </w:r>
      <w:r>
        <w:rPr>
          <w:b/>
          <w:bCs/>
        </w:rPr>
        <w:t xml:space="preserve">1,692 peer-reviewed empirical studies</w:t>
      </w:r>
      <w:r>
        <w:t xml:space="preserve"> </w:t>
      </w:r>
      <w:r>
        <w:t xml:space="preserve">(2,000 initial -&gt; 1,719 dedup -&gt; 1,692 included), PRISMA 2020, 2010-2026, IEEE Xplore + Scopus. Three structural findings: (1)</w:t>
      </w:r>
      <w:r>
        <w:t xml:space="preserve"> </w:t>
      </w:r>
      <w:r>
        <w:rPr>
          <w:b/>
          <w:bCs/>
        </w:rPr>
        <w:t xml:space="preserve">IMU is the universal substrate</w:t>
      </w:r>
      <w:r>
        <w:t xml:space="preserve"> </w:t>
      </w:r>
      <w:r>
        <w:t xml:space="preserve">(78%, 1,332/1,700); (2)</w:t>
      </w:r>
      <w:r>
        <w:t xml:space="preserve"> </w:t>
      </w:r>
      <w:r>
        <w:rPr>
          <w:b/>
          <w:bCs/>
        </w:rPr>
        <w:t xml:space="preserve">adversarial/EW denial is the largest environment category</w:t>
      </w:r>
      <w:r>
        <w:t xml:space="preserve">; (3)</w:t>
      </w:r>
      <w:r>
        <w:t xml:space="preserve"> </w:t>
      </w:r>
      <w:r>
        <w:rPr>
          <w:b/>
          <w:bCs/>
        </w:rPr>
        <w:t xml:space="preserve">a persistent simulation-to-deployment gap</w:t>
      </w:r>
      <w:r>
        <w:t xml:space="preserve"> </w:t>
      </w:r>
      <w:r>
        <w:t xml:space="preserve">unchanged over 16 years.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UAV, GPS-Denied Navigation, GNSS-Denied Localization, Sensor Fusion, VIO, LiDAR SLAM, Dead Reckoning, Multi-Agent SLAM, Deep Learning Odometry, PRISMA.</w:t>
      </w:r>
    </w:p>
    <w:p>
      <w:r>
        <w:pict>
          <v:rect style="width:0;height:1.5pt" o:hralign="center" o:hrstd="t" o:hr="t"/>
        </w:pict>
      </w:r>
    </w:p>
    <w:bookmarkEnd w:id="9"/>
    <w:bookmarkStart w:id="14" w:name="introduction"/>
    <w:p>
      <w:pPr>
        <w:pStyle w:val="Heading2"/>
      </w:pPr>
      <w:r>
        <w:t xml:space="preserve">1. INTRODUCTION</w:t>
      </w:r>
    </w:p>
    <w:bookmarkStart w:id="10" w:name="the-problem"/>
    <w:p>
      <w:pPr>
        <w:pStyle w:val="Heading3"/>
      </w:pPr>
      <w:r>
        <w:t xml:space="preserve">1.1 The Problem</w:t>
      </w:r>
    </w:p>
    <w:p>
      <w:pPr>
        <w:pStyle w:val="FirstParagraph"/>
      </w:pPr>
      <w:r>
        <w:t xml:space="preserve">UAVs are now expected to operate where GPS is unavailable: post-earthquake SAR, deep mines, urban canyons, active EW. In each case, the challenge is operational, not cosmetic – unlocalizable UAVs cannot report survivor positions, maintain structural-inspection precision, or survive jamming.</w:t>
      </w:r>
    </w:p>
    <w:bookmarkEnd w:id="10"/>
    <w:bookmarkStart w:id="11" w:name="why-this-review-why-now"/>
    <w:p>
      <w:pPr>
        <w:pStyle w:val="Heading3"/>
      </w:pPr>
      <w:r>
        <w:t xml:space="preserve">1.2 Why This Review, Why Now</w:t>
      </w:r>
    </w:p>
    <w:p>
      <w:pPr>
        <w:pStyle w:val="FirstParagraph"/>
      </w:pPr>
      <w:r>
        <w:t xml:space="preserve">No prior survey covers the full multi-sensor, multi-platform landscape with PRISMA methodology, and none covers 2022-2026 when DL began integrating with geometric pipelines.</w:t>
      </w:r>
    </w:p>
    <w:bookmarkEnd w:id="11"/>
    <w:bookmarkStart w:id="12" w:name="central-argument"/>
    <w:p>
      <w:pPr>
        <w:pStyle w:val="Heading3"/>
      </w:pPr>
      <w:r>
        <w:t xml:space="preserve">1.3 Central Argument</w:t>
      </w:r>
    </w:p>
    <w:p>
      <w:pPr>
        <w:pStyle w:val="FirstParagraph"/>
      </w:pPr>
      <w:r>
        <w:t xml:space="preserve">GPS-denied navigation has reached benchmark maturity while deployment remains unsolved. Closing the gap needs better evaluation standards, honest failure reporting, and stressed-environment validation.</w:t>
      </w:r>
    </w:p>
    <w:bookmarkEnd w:id="12"/>
    <w:bookmarkStart w:id="13" w:name="contributions"/>
    <w:p>
      <w:pPr>
        <w:pStyle w:val="Heading3"/>
      </w:pPr>
      <w:r>
        <w:t xml:space="preserve">1.4 Contributions</w:t>
      </w:r>
    </w:p>
    <w:p>
      <w:pPr>
        <w:pStyle w:val="Compact"/>
        <w:numPr>
          <w:ilvl w:val="0"/>
          <w:numId w:val="1001"/>
        </w:numPr>
      </w:pPr>
      <w:r>
        <w:t xml:space="preserve">PRISMA-compliant dataset: 1,692 from 1,719 dedup (2,000 initial).</w:t>
      </w:r>
    </w:p>
    <w:p>
      <w:pPr>
        <w:pStyle w:val="Compact"/>
        <w:numPr>
          <w:ilvl w:val="0"/>
          <w:numId w:val="1001"/>
        </w:numPr>
      </w:pPr>
      <w:r>
        <w:t xml:space="preserve">Multi-dimensional taxonomy: 10 methods, 13 sensors, 7 environments, 3 experiment types.</w:t>
      </w:r>
    </w:p>
    <w:p>
      <w:pPr>
        <w:pStyle w:val="Compact"/>
        <w:numPr>
          <w:ilvl w:val="0"/>
          <w:numId w:val="1001"/>
        </w:numPr>
      </w:pPr>
      <w:r>
        <w:t xml:space="preserve">Three novel corpus-level findings: IMU 78%, EW dominance, quantified sim-to-deploy gap.</w:t>
      </w:r>
    </w:p>
    <w:p>
      <w:pPr>
        <w:pStyle w:val="Compact"/>
        <w:numPr>
          <w:ilvl w:val="0"/>
          <w:numId w:val="1001"/>
        </w:numPr>
      </w:pPr>
      <w:r>
        <w:t xml:space="preserve">Five prioritized research directions.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methodology-and-prisma-flow"/>
    <w:p>
      <w:pPr>
        <w:pStyle w:val="Heading2"/>
      </w:pPr>
      <w:r>
        <w:t xml:space="preserve">2. METHODOLOGY AND PRISMA FLOW</w:t>
      </w:r>
    </w:p>
    <w:bookmarkStart w:id="15" w:name="research-questions"/>
    <w:p>
      <w:pPr>
        <w:pStyle w:val="Heading3"/>
      </w:pPr>
      <w:r>
        <w:t xml:space="preserve">2.1 Research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Sensor modalities &amp; fusion architectures; evolution 2010-2026?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Algorithm performance across environments?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Classical vs DL trade-offs?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RQ4</w:t>
            </w:r>
          </w:p>
        </w:tc>
        <w:tc>
          <w:tcPr/>
          <w:p>
            <w:pPr>
              <w:pStyle w:val="Compact"/>
            </w:pPr>
            <w:r>
              <w:t xml:space="preserve">Structural gaps limiting operational impact?</w:t>
            </w:r>
          </w:p>
        </w:tc>
      </w:tr>
    </w:tbl>
    <w:bookmarkEnd w:id="15"/>
    <w:bookmarkStart w:id="16" w:name="search-strategy"/>
    <w:p>
      <w:pPr>
        <w:pStyle w:val="Heading3"/>
      </w:pPr>
      <w:r>
        <w:t xml:space="preserve">2.2 Search Strategy</w:t>
      </w:r>
    </w:p>
    <w:p>
      <w:pPr>
        <w:pStyle w:val="Compact"/>
        <w:numPr>
          <w:ilvl w:val="0"/>
          <w:numId w:val="1002"/>
        </w:numPr>
      </w:pPr>
      <w:r>
        <w:t xml:space="preserve">IEEE Xplore: 1,000 records (GPS-denied OR GNSS-denied + UAV/drone + fusion/SLAM/VIO)</w:t>
      </w:r>
    </w:p>
    <w:p>
      <w:pPr>
        <w:pStyle w:val="Compact"/>
        <w:numPr>
          <w:ilvl w:val="0"/>
          <w:numId w:val="1002"/>
        </w:numPr>
      </w:pPr>
      <w:r>
        <w:t xml:space="preserve">Scopus: 1,000 records (equivalent TITLE-ABS-KEY)</w:t>
      </w:r>
    </w:p>
    <w:p>
      <w:pPr>
        <w:pStyle w:val="Compact"/>
        <w:numPr>
          <w:ilvl w:val="0"/>
          <w:numId w:val="1002"/>
        </w:numPr>
      </w:pPr>
      <w:r>
        <w:t xml:space="preserve">Timeframe: Jan 2010 - Jun 2026; English peer-reviewed only</w:t>
      </w:r>
    </w:p>
    <w:bookmarkEnd w:id="16"/>
    <w:bookmarkStart w:id="17" w:name="prisma-2020-flow-fig07_prisma_flow.png"/>
    <w:p>
      <w:pPr>
        <w:pStyle w:val="Heading3"/>
      </w:pPr>
      <w:r>
        <w:t xml:space="preserve">2.3 PRISMA 2020 Flow (fig07_prisma_flow.png)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IEEE 1,000; Scopus 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dedup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1,719</w:t>
            </w:r>
          </w:p>
        </w:tc>
        <w:tc>
          <w:tcPr/>
          <w:p>
            <w:pPr>
              <w:pStyle w:val="Compact"/>
            </w:pPr>
            <w:r>
              <w:t xml:space="preserve">281 removed (14.1%)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screening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1,692</w:t>
            </w:r>
          </w:p>
        </w:tc>
        <w:tc>
          <w:tcPr/>
          <w:p>
            <w:pPr>
              <w:pStyle w:val="Compact"/>
            </w:pPr>
            <w:r>
              <w:t xml:space="preserve">27 excluded (1.6%)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1,700</w:t>
            </w:r>
          </w:p>
        </w:tc>
        <w:tc>
          <w:tcPr/>
          <w:p>
            <w:pPr>
              <w:pStyle w:val="Compact"/>
            </w:pPr>
            <w:r>
              <w:t xml:space="preserve">extracted_master.csv</w:t>
            </w:r>
          </w:p>
        </w:tc>
      </w:tr>
    </w:tbl>
    <w:p>
      <w:pPr>
        <w:pStyle w:val="BodyText"/>
      </w:pPr>
      <w:r>
        <w:t xml:space="preserve">27 exclusions: 8 theoretical-only, 11 GPS-augmented, 8 out-of-scope platforms.</w:t>
      </w:r>
    </w:p>
    <w:bookmarkEnd w:id="17"/>
    <w:bookmarkStart w:id="18" w:name="picoc"/>
    <w:p>
      <w:pPr>
        <w:pStyle w:val="Heading3"/>
      </w:pPr>
      <w:r>
        <w:t xml:space="preserve">2.4 PICOC</w:t>
      </w:r>
    </w:p>
    <w:p>
      <w:pPr>
        <w:pStyle w:val="FirstParagraph"/>
      </w:pPr>
      <w:r>
        <w:t xml:space="preserve">Population: UAVs (fixed-wing/rotor/hybrid). Intervention: GPS/GNSS-denied methods. Comparison: baseline vs alternative. Outcome: accuracy, drift, compute, robustness. Context: indoor/outdoor/underground/adversarial/mixed.</w:t>
      </w:r>
    </w:p>
    <w:bookmarkEnd w:id="18"/>
    <w:bookmarkStart w:id="19" w:name="quality-checklist-8-items"/>
    <w:p>
      <w:pPr>
        <w:pStyle w:val="Heading3"/>
      </w:pPr>
      <w:r>
        <w:t xml:space="preserve">2.5 Quality Checklist (8 items)</w:t>
      </w:r>
    </w:p>
    <w:p>
      <w:pPr>
        <w:pStyle w:val="FirstParagraph"/>
      </w:pPr>
      <w:r>
        <w:t xml:space="preserve">Problem statement; sensor config; quantitative results; baseline comparison; real-world/HIL validation; statistical treatment; reproducibility; limitations. Score &gt;=5 included; 3-4 noted; &lt;=2 excluded (8 of 27).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X700f9f81ba4b0fa8a9f1e883908947139c60239"/>
    <w:p>
      <w:pPr>
        <w:pStyle w:val="Heading2"/>
      </w:pPr>
      <w:r>
        <w:t xml:space="preserve">3. TAXONOMY OF SENSORS AND ESTIMATION FRAMEWORKS</w:t>
      </w:r>
    </w:p>
    <w:bookmarkStart w:id="21" w:name="imu-the-universal-substrate"/>
    <w:p>
      <w:pPr>
        <w:pStyle w:val="Heading3"/>
      </w:pPr>
      <w:r>
        <w:t xml:space="preserve">3.1 IMU – The Universal Substrate</w:t>
      </w:r>
    </w:p>
    <w:p>
      <w:pPr>
        <w:pStyle w:val="FirstParagraph"/>
      </w:pPr>
      <w:r>
        <w:t xml:space="preserve">IMU appears in</w:t>
      </w:r>
      <w:r>
        <w:t xml:space="preserve"> </w:t>
      </w:r>
      <w:r>
        <w:rPr>
          <w:b/>
          <w:bCs/>
        </w:rPr>
        <w:t xml:space="preserve">1,332/1,700 papers = 78%</w:t>
      </w:r>
      <w:r>
        <w:t xml:space="preserve"> </w:t>
      </w:r>
      <w:r>
        <w:t xml:space="preserve">(fig05). It is rarely the primary method but underlies every high-performing approach. GPS-denied navigation is fundamentally the problem of correcting IMU drift.</w:t>
      </w:r>
    </w:p>
    <w:bookmarkEnd w:id="21"/>
    <w:bookmarkStart w:id="22" w:name="visual-inertial-vins"/>
    <w:p>
      <w:pPr>
        <w:pStyle w:val="Heading3"/>
      </w:pPr>
      <w:r>
        <w:t xml:space="preserve">3.2 Visual-Inertial (VINS)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Filter-based</w:t>
      </w:r>
      <w:r>
        <w:t xml:space="preserve"> </w:t>
      </w:r>
      <w:r>
        <w:t xml:space="preserve">(MSCKF, EKF-VIO): 10-50 ms/frame, dominant on MAVs; long-horizon linearization error.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Optimization-based</w:t>
      </w:r>
      <w:r>
        <w:t xml:space="preserve"> </w:t>
      </w:r>
      <w:r>
        <w:t xml:space="preserve">(OKVIS, VINS-Mono, ORB-SLAM3): 0.03-0.15 m ATE on EuRoC vs 0.08-0.25 m filter; 3-10x compute. ORB-SLAM3 and VINS-Mono appear as baselines in &gt;40% of VIO papers.</w:t>
      </w:r>
    </w:p>
    <w:bookmarkEnd w:id="22"/>
    <w:bookmarkStart w:id="23" w:name="lidar-slam-vli-fusion"/>
    <w:p>
      <w:pPr>
        <w:pStyle w:val="Heading3"/>
      </w:pPr>
      <w:r>
        <w:t xml:space="preserve">3.3 LiDAR SLAM &amp; VLI Fusion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3D LiDAR</w:t>
      </w:r>
      <w:r>
        <w:t xml:space="preserve"> </w:t>
      </w:r>
      <w:r>
        <w:t xml:space="preserve">(LOAM, FAST-LIO2, LIO-SAM): sub-decimeter; FAST-LIO2 &lt;0.1 m ATE real-time on embedded CPU. SWaP: VLP-16 = 830 g / 8 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Solid-state (2020+)</w:t>
      </w:r>
      <w:r>
        <w:t xml:space="preserve">: Livox/Hesai; LiDAR SLAM papers +47% 2020-2023 (fig04).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VLI Fusion</w:t>
      </w:r>
      <w:r>
        <w:t xml:space="preserve">: 38 papers; ATE &lt;0.05 m typical; needs GPU + calibration.</w:t>
      </w:r>
    </w:p>
    <w:bookmarkEnd w:id="23"/>
    <w:bookmarkStart w:id="24" w:name="radio-infrastructure-assisted"/>
    <w:p>
      <w:pPr>
        <w:pStyle w:val="Heading3"/>
      </w:pPr>
      <w:r>
        <w:t xml:space="preserve">3.4 Radio / Infrastructure-Assisted</w:t>
      </w:r>
    </w:p>
    <w:p>
      <w:pPr>
        <w:pStyle w:val="FirstParagraph"/>
      </w:pPr>
      <w:r>
        <w:t xml:space="preserve">Numerically the largest primary category.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UWB</w:t>
      </w:r>
      <w:r>
        <w:t xml:space="preserve">: &lt;10 cm with &gt;=4 anchors; 14 papers on multi-UAV cooperative.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WiFi/5G</w:t>
      </w:r>
      <w:r>
        <w:t xml:space="preserve">: 0.5-2 m; &lt;12% address temporal fingerprint drift.</w:t>
      </w:r>
      <w:r>
        <w:t xml:space="preserve"> </w:t>
      </w:r>
      <w:r>
        <w:t xml:space="preserve">Corpus split: infra-based dominates indoor industrial; outdoor/military/SAR nearly exclude it.</w:t>
      </w:r>
    </w:p>
    <w:bookmarkEnd w:id="24"/>
    <w:bookmarkStart w:id="25" w:name="deep-learning-hybrid"/>
    <w:p>
      <w:pPr>
        <w:pStyle w:val="Heading3"/>
      </w:pPr>
      <w:r>
        <w:t xml:space="preserve">3.5 Deep Learning &amp; Hybrid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Real-world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Classical-Learning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Learning Odometry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Hybrids outperform pure DL 8:1 in real-world. End-to-end (DeepVO) fails to generalize; learned sub-modules (SuperPoint, NetVLAD) succeed.</w:t>
      </w:r>
    </w:p>
    <w:bookmarkEnd w:id="25"/>
    <w:bookmarkStart w:id="26" w:name="additional-modalities"/>
    <w:p>
      <w:pPr>
        <w:pStyle w:val="Heading3"/>
      </w:pPr>
      <w:r>
        <w:t xml:space="preserve">3.6 Additional Modalities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 cameras</w:t>
      </w:r>
      <w:r>
        <w:t xml:space="preserve">: only</w:t>
      </w:r>
      <w:r>
        <w:t xml:space="preserve"> </w:t>
      </w:r>
      <w:r>
        <w:rPr>
          <w:b/>
          <w:bCs/>
        </w:rPr>
        <w:t xml:space="preserve">1 paper</w:t>
      </w:r>
      <w:r>
        <w:t xml:space="preserve"> </w:t>
      </w:r>
      <w:r>
        <w:t xml:space="preserve">as primary – surprising given microsecond latency, &lt;5 g, &lt;2 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Barometers</w:t>
      </w:r>
      <w:r>
        <w:t xml:space="preserve">: 23% (vertical drift aid).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Magnetometers</w:t>
      </w:r>
      <w:r>
        <w:t xml:space="preserve">: 18% (indoor steel distortion limits).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Acoustic/sonar</w:t>
      </w:r>
      <w:r>
        <w:t xml:space="preserve">: 9% (close-range avoidance).</w:t>
      </w:r>
    </w:p>
    <w:bookmarkEnd w:id="26"/>
    <w:bookmarkStart w:id="27" w:name="Xba0c501ae92131ac7f1eae3c2089a6fba6f7cca"/>
    <w:p>
      <w:pPr>
        <w:pStyle w:val="Heading3"/>
      </w:pPr>
      <w:r>
        <w:t xml:space="preserve">3.7 Quantitative Benchmark Comparison across Modalities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Total Papers</w:t>
            </w:r>
          </w:p>
        </w:tc>
        <w:tc>
          <w:tcPr/>
          <w:p>
            <w:pPr>
              <w:pStyle w:val="Compact"/>
            </w:pPr>
            <w:r>
              <w:t xml:space="preserve">ATE Papers (n)</w:t>
            </w:r>
          </w:p>
        </w:tc>
        <w:tc>
          <w:tcPr/>
          <w:p>
            <w:pPr>
              <w:pStyle w:val="Compact"/>
            </w:pPr>
            <w:r>
              <w:t xml:space="preserve">ATE Median</w:t>
            </w:r>
          </w:p>
        </w:tc>
        <w:tc>
          <w:tcPr/>
          <w:p>
            <w:pPr>
              <w:pStyle w:val="Compact"/>
            </w:pPr>
            <w:r>
              <w:t xml:space="preserve">ATE Min</w:t>
            </w:r>
          </w:p>
        </w:tc>
        <w:tc>
          <w:tcPr/>
          <w:p>
            <w:pPr>
              <w:pStyle w:val="Compact"/>
            </w:pPr>
            <w:r>
              <w:t xml:space="preserve">ATE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SLAM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0.290 m</w:t>
            </w:r>
          </w:p>
        </w:tc>
        <w:tc>
          <w:tcPr/>
          <w:p>
            <w:pPr>
              <w:pStyle w:val="Compact"/>
            </w:pPr>
            <w:r>
              <w:t xml:space="preserve">0.052 m</w:t>
            </w:r>
          </w:p>
        </w:tc>
        <w:tc>
          <w:tcPr/>
          <w:p>
            <w:pPr>
              <w:pStyle w:val="Compact"/>
            </w:pPr>
            <w:r>
              <w:t xml:space="preserve">5.360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Optimization-Based VIO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0.800 m</w:t>
            </w:r>
          </w:p>
        </w:tc>
        <w:tc>
          <w:tcPr/>
          <w:p>
            <w:pPr>
              <w:pStyle w:val="Compact"/>
            </w:pPr>
            <w:r>
              <w:t xml:space="preserve">0.500 m</w:t>
            </w:r>
          </w:p>
        </w:tc>
        <w:tc>
          <w:tcPr/>
          <w:p>
            <w:pPr>
              <w:pStyle w:val="Compact"/>
            </w:pPr>
            <w:r>
              <w:t xml:space="preserve">150.000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LiDAR SLAM</w:t>
            </w:r>
          </w:p>
        </w:tc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0.890 m</w:t>
            </w:r>
          </w:p>
        </w:tc>
        <w:tc>
          <w:tcPr/>
          <w:p>
            <w:pPr>
              <w:pStyle w:val="Compact"/>
            </w:pPr>
            <w:r>
              <w:t xml:space="preserve">0.010 m</w:t>
            </w:r>
          </w:p>
        </w:tc>
        <w:tc>
          <w:tcPr/>
          <w:p>
            <w:pPr>
              <w:pStyle w:val="Compact"/>
            </w:pPr>
            <w:r>
              <w:t xml:space="preserve">100.000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Filter-Based VIO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2.000 m</w:t>
            </w:r>
          </w:p>
        </w:tc>
        <w:tc>
          <w:tcPr/>
          <w:p>
            <w:pPr>
              <w:pStyle w:val="Compact"/>
            </w:pPr>
            <w:r>
              <w:t xml:space="preserve">0.089 m</w:t>
            </w:r>
          </w:p>
        </w:tc>
        <w:tc>
          <w:tcPr/>
          <w:p>
            <w:pPr>
              <w:pStyle w:val="Compact"/>
            </w:pPr>
            <w:r>
              <w:t xml:space="preserve">15.000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Visual-LiDAR-Inertial Fusion (VLI)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2.600 m</w:t>
            </w:r>
          </w:p>
        </w:tc>
        <w:tc>
          <w:tcPr/>
          <w:p>
            <w:pPr>
              <w:pStyle w:val="Compact"/>
            </w:pPr>
            <w:r>
              <w:t xml:space="preserve">0.050 m</w:t>
            </w:r>
          </w:p>
        </w:tc>
        <w:tc>
          <w:tcPr/>
          <w:p>
            <w:pPr>
              <w:pStyle w:val="Compact"/>
            </w:pPr>
            <w:r>
              <w:t xml:space="preserve">10.000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Classical-DL</w:t>
            </w:r>
          </w:p>
        </w:tc>
        <w:tc>
          <w:tcPr/>
          <w:p>
            <w:pPr>
              <w:pStyle w:val="Compact"/>
            </w:pPr>
            <w:r>
              <w:t xml:space="preserve">231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3.000 m</w:t>
            </w:r>
          </w:p>
        </w:tc>
        <w:tc>
          <w:tcPr/>
          <w:p>
            <w:pPr>
              <w:pStyle w:val="Compact"/>
            </w:pPr>
            <w:r>
              <w:t xml:space="preserve">0.024 m</w:t>
            </w:r>
          </w:p>
        </w:tc>
        <w:tc>
          <w:tcPr/>
          <w:p>
            <w:pPr>
              <w:pStyle w:val="Compact"/>
            </w:pPr>
            <w:r>
              <w:t xml:space="preserve">200.000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Radio/Infrastructure (UWB/WiFi/5G)</w:t>
            </w:r>
          </w:p>
        </w:tc>
        <w:tc>
          <w:tcPr/>
          <w:p>
            <w:pPr>
              <w:pStyle w:val="Compact"/>
            </w:pPr>
            <w:r>
              <w:t xml:space="preserve">975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5.000 m</w:t>
            </w:r>
          </w:p>
        </w:tc>
        <w:tc>
          <w:tcPr/>
          <w:p>
            <w:pPr>
              <w:pStyle w:val="Compact"/>
            </w:pPr>
            <w:r>
              <w:t xml:space="preserve">0.011 m</w:t>
            </w:r>
          </w:p>
        </w:tc>
        <w:tc>
          <w:tcPr/>
          <w:p>
            <w:pPr>
              <w:pStyle w:val="Compact"/>
            </w:pPr>
            <w:r>
              <w:t xml:space="preserve">200.000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Collaborative SLAM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8.000 m</w:t>
            </w:r>
          </w:p>
        </w:tc>
        <w:tc>
          <w:tcPr/>
          <w:p>
            <w:pPr>
              <w:pStyle w:val="Compact"/>
            </w:pPr>
            <w:r>
              <w:t xml:space="preserve">0.540 m</w:t>
            </w:r>
          </w:p>
        </w:tc>
        <w:tc>
          <w:tcPr/>
          <w:p>
            <w:pPr>
              <w:pStyle w:val="Compact"/>
            </w:pPr>
            <w:r>
              <w:t xml:space="preserve">48.200 m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Computed from papers reporting numeric ATE_RMSE in metres with unit-mismatch outliers (&gt;200 m) filtered out. Visual SLAM and LiDAR SLAM demonstrate the highest median trajectory precision (&lt;1 m), while radio-based and multi-agent systems trade absolute localization precision for wide-area coverage and collaborative coordination.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ynthesis-and-analysis"/>
    <w:p>
      <w:pPr>
        <w:pStyle w:val="Heading2"/>
      </w:pPr>
      <w:r>
        <w:t xml:space="preserve">4. SYNTHESIS AND ANALYSIS</w:t>
      </w:r>
    </w:p>
    <w:bookmarkStart w:id="29" w:name="three-waves-fig01"/>
    <w:p>
      <w:pPr>
        <w:pStyle w:val="Heading3"/>
      </w:pPr>
      <w:r>
        <w:t xml:space="preserve">4.1 Three Waves (fig01)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W1 (2010-2017)</w:t>
      </w:r>
      <w:r>
        <w:t xml:space="preserve">: 17-50/yr. EKF, particle filter, VO, grid LiDAR. EuRoC released 2016.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W2 (2018-2022)</w:t>
      </w:r>
      <w:r>
        <w:t xml:space="preserve">: 87-124/yr. ORB-SLAM3, LIO-SAM, FAST-LIO2 crystallize graph SLAM.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W3 (2023-2025)</w:t>
      </w:r>
      <w:r>
        <w:t xml:space="preserve">: 154-336/yr. DL hybrids + new domains (agri, maritime, DARPA SubT). 2025 partial.</w:t>
      </w:r>
    </w:p>
    <w:bookmarkEnd w:id="29"/>
    <w:bookmarkStart w:id="30" w:name="platform-environment"/>
    <w:p>
      <w:pPr>
        <w:pStyle w:val="Heading3"/>
      </w:pPr>
      <w:r>
        <w:t xml:space="preserve">4.2 Platform &amp; Environment</w:t>
      </w:r>
    </w:p>
    <w:p>
      <w:pPr>
        <w:pStyle w:val="Compact"/>
        <w:numPr>
          <w:ilvl w:val="0"/>
          <w:numId w:val="1007"/>
        </w:numPr>
      </w:pPr>
      <w:r>
        <w:t xml:space="preserve">fig02: UAVs 50.7%; General 33.6%.</w:t>
      </w:r>
    </w:p>
    <w:p>
      <w:pPr>
        <w:pStyle w:val="Compact"/>
        <w:numPr>
          <w:ilvl w:val="0"/>
          <w:numId w:val="1007"/>
        </w:numPr>
      </w:pPr>
      <w:r>
        <w:t xml:space="preserve">fig03:</w:t>
      </w:r>
      <w:r>
        <w:t xml:space="preserve"> </w:t>
      </w:r>
      <w:r>
        <w:rPr>
          <w:b/>
          <w:bCs/>
        </w:rPr>
        <w:t xml:space="preserve">Adversarial/EW = 495 papers (29%)</w:t>
      </w:r>
      <w:r>
        <w:t xml:space="preserve"> </w:t>
      </w:r>
      <w:r>
        <w:t xml:space="preserve">vs Indoor 339 (20%). GPS-denied is a contested-operations literature, not primarily an indoor one.</w:t>
      </w:r>
    </w:p>
    <w:bookmarkEnd w:id="30"/>
    <w:bookmarkStart w:id="31" w:name="simulation-to-deployment-gap"/>
    <w:p>
      <w:pPr>
        <w:pStyle w:val="Heading3"/>
      </w:pPr>
      <w:r>
        <w:t xml:space="preserve">4.3 Simulation-to-Deployment Gap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VIO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4.4:1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LiDAR SLAM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7.4:1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SLAM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 Odometry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5.3:1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CL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2.6:1</w:t>
            </w:r>
          </w:p>
        </w:tc>
      </w:tr>
    </w:tbl>
    <w:p>
      <w:pPr>
        <w:pStyle w:val="BodyText"/>
      </w:pPr>
      <w:r>
        <w:t xml:space="preserve">&lt;8% of</w:t>
      </w:r>
      <w:r>
        <w:t xml:space="preserve"> </w:t>
      </w:r>
      <w:r>
        <w:t xml:space="preserve">“real-world”</w:t>
      </w:r>
      <w:r>
        <w:t xml:space="preserve"> </w:t>
      </w:r>
      <w:r>
        <w:t xml:space="preserve">papers use genuine operational environments. Multi-Agent SLAM (1.3:1) has the</w:t>
      </w:r>
      <w:r>
        <w:t xml:space="preserve"> </w:t>
      </w:r>
      <w:r>
        <w:rPr>
          <w:b/>
          <w:bCs/>
        </w:rPr>
        <w:t xml:space="preserve">lowest real-world dominance</w:t>
      </w:r>
      <w:r>
        <w:t xml:space="preserve"> </w:t>
      </w:r>
      <w:r>
        <w:t xml:space="preserve">ratio in the corpus — nearly equal real and simulation validation — signalling the field has not yet committed to field deployment for this method.</w:t>
      </w:r>
    </w:p>
    <w:bookmarkEnd w:id="31"/>
    <w:bookmarkStart w:id="32" w:name="application-domains-fig06"/>
    <w:p>
      <w:pPr>
        <w:pStyle w:val="Heading3"/>
      </w:pPr>
      <w:r>
        <w:t xml:space="preserve">4.4 Application Domains (fig06)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SAR/Disaster</w:t>
            </w:r>
          </w:p>
        </w:tc>
        <w:tc>
          <w:tcPr/>
          <w:p>
            <w:pPr>
              <w:pStyle w:val="Compact"/>
            </w:pPr>
            <w:r>
              <w:t xml:space="preserve">287</w:t>
            </w:r>
          </w:p>
        </w:tc>
        <w:tc>
          <w:tcPr/>
          <w:p>
            <w:pPr>
              <w:pStyle w:val="Compact"/>
            </w:pPr>
            <w:r>
              <w:t xml:space="preserve">16.9%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Military/EW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18.4%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11.6%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Agriculture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General/Benchmark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  <w:tc>
          <w:tcPr/>
          <w:p>
            <w:pPr>
              <w:pStyle w:val="Compact"/>
            </w:pPr>
            <w:r>
              <w:t xml:space="preserve">44.7%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open-challenges-and-future-directions"/>
    <w:p>
      <w:pPr>
        <w:pStyle w:val="Heading2"/>
      </w:pPr>
      <w:r>
        <w:t xml:space="preserve">5. OPEN CHALLENGES AND FUTURE DIRECTIONS</w:t>
      </w:r>
    </w:p>
    <w:bookmarkStart w:id="34" w:name="the-benchmark-illusion"/>
    <w:p>
      <w:pPr>
        <w:pStyle w:val="Heading3"/>
      </w:pPr>
      <w:r>
        <w:t xml:space="preserve">5.1 The Benchmark Illusion</w:t>
      </w:r>
    </w:p>
    <w:p>
      <w:pPr>
        <w:pStyle w:val="FirstParagraph"/>
      </w:pPr>
      <w:r>
        <w:t xml:space="preserve">EuRoC/KITTI/TUM-VI/UZH-FPV dominate. 0.05 m ATE on smooth EuRoC may fail in a 500 m dusty mine shaft.</w:t>
      </w:r>
      <w:r>
        <w:t xml:space="preserve"> </w:t>
      </w:r>
      <w:r>
        <w:rPr>
          <w:b/>
          <w:bCs/>
        </w:rPr>
        <w:t xml:space="preserve">Action</w:t>
      </w:r>
      <w:r>
        <w:t xml:space="preserve">: build GDSEB (underground &gt;200 m, EW spoofing, dynamic scenes, illumination gradients).</w:t>
      </w:r>
    </w:p>
    <w:bookmarkEnd w:id="34"/>
    <w:bookmarkStart w:id="35" w:name="swap-c-tiers"/>
    <w:p>
      <w:pPr>
        <w:pStyle w:val="Heading3"/>
      </w:pPr>
      <w:r>
        <w:t xml:space="preserve">5.2 SWaP-C Tiers</w:t>
      </w:r>
    </w:p>
    <w:p>
      <w:pPr>
        <w:pStyle w:val="Compact"/>
        <w:numPr>
          <w:ilvl w:val="0"/>
          <w:numId w:val="1008"/>
        </w:numPr>
      </w:pPr>
      <w:r>
        <w:t xml:space="preserve">T1 (&gt;2 kg, &gt;50 W): full VLI + 3D LiDAR.</w:t>
      </w:r>
    </w:p>
    <w:p>
      <w:pPr>
        <w:pStyle w:val="Compact"/>
        <w:numPr>
          <w:ilvl w:val="0"/>
          <w:numId w:val="1008"/>
        </w:numPr>
      </w:pPr>
      <w:r>
        <w:t xml:space="preserve">T2 (0.5-2 kg, 10-50 W): VIO + solid-state LiDAR.</w:t>
      </w:r>
    </w:p>
    <w:p>
      <w:pPr>
        <w:pStyle w:val="Compact"/>
        <w:numPr>
          <w:ilvl w:val="0"/>
          <w:numId w:val="1008"/>
        </w:numPr>
      </w:pPr>
      <w:r>
        <w:t xml:space="preserve">T3 (&lt;500 g, &lt;10 W): filter VIO or UWB-IMU.</w:t>
      </w:r>
      <w:r>
        <w:t xml:space="preserve"> </w:t>
      </w:r>
      <w:r>
        <w:rPr>
          <w:b/>
          <w:bCs/>
        </w:rPr>
        <w:t xml:space="preserve">Only T3 is truly mass-deployable</w:t>
      </w:r>
      <w:r>
        <w:t xml:space="preserve">, yet corpus is T1/T2-dominated.</w:t>
      </w:r>
    </w:p>
    <w:bookmarkEnd w:id="35"/>
    <w:bookmarkStart w:id="36" w:name="evaluation-standards-crisis"/>
    <w:p>
      <w:pPr>
        <w:pStyle w:val="Heading3"/>
      </w:pPr>
      <w:r>
        <w:t xml:space="preserve">5.3 Evaluation Standards Crisis</w:t>
      </w:r>
    </w:p>
    <w:p>
      <w:pPr>
        <w:pStyle w:val="FirstParagraph"/>
      </w:pPr>
      <w:r>
        <w:t xml:space="preserve">Seven metrics in use (ATE, RMSE, RPE, success rate, rate, CPU/mem, robustness). ATE RMSE reported in only 42% of quantitative papers. Need ImageNet-style canonical protocol.</w:t>
      </w:r>
    </w:p>
    <w:bookmarkEnd w:id="36"/>
    <w:bookmarkStart w:id="37" w:name="dl-vs-geometric-false-dichotomy"/>
    <w:p>
      <w:pPr>
        <w:pStyle w:val="Heading3"/>
      </w:pPr>
      <w:r>
        <w:t xml:space="preserve">5.4 DL vs Geometric – False Dichotomy</w:t>
      </w:r>
    </w:p>
    <w:p>
      <w:pPr>
        <w:pStyle w:val="FirstParagraph"/>
      </w:pPr>
      <w:r>
        <w:t xml:space="preserve">Best systems combine both. Highest-leverage DL insertion points: feature extraction (SuperPoint), place recognition (NetVLAD), dynamic masking.</w:t>
      </w:r>
    </w:p>
    <w:bookmarkEnd w:id="37"/>
    <w:bookmarkStart w:id="38" w:name="multi-agent-the-underdeveloped-frontier"/>
    <w:p>
      <w:pPr>
        <w:pStyle w:val="Heading3"/>
      </w:pPr>
      <w:r>
        <w:t xml:space="preserve">5.5 Multi-Agent – The Underdeveloped Frontier</w:t>
      </w:r>
    </w:p>
    <w:p>
      <w:pPr>
        <w:pStyle w:val="FirstParagraph"/>
      </w:pPr>
      <w:r>
        <w:t xml:space="preserve">Only 26 papers (14 real + 11 sim + 1 both) vs 134 for Filter VIO alone. Highest-leverage open frontier in 2026. Open problems: bandwidth-efficient map sharing; relative pose without shared map; fusion under comms dropout.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search-maturity-fig09"/>
    <w:p>
      <w:pPr>
        <w:pStyle w:val="Heading2"/>
      </w:pPr>
      <w:r>
        <w:t xml:space="preserve">6. RESEARCH MATURITY (fig09)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Benchmark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Real-World Deploy</w:t>
            </w:r>
          </w:p>
        </w:tc>
        <w:tc>
          <w:tcPr/>
          <w:p>
            <w:pPr>
              <w:pStyle w:val="Compac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Multi-Sensor Fusion</w:t>
            </w:r>
          </w:p>
        </w:tc>
        <w:tc>
          <w:tcPr/>
          <w:p>
            <w:pPr>
              <w:pStyle w:val="Compac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Compute</w:t>
            </w:r>
          </w:p>
        </w:tc>
        <w:tc>
          <w:tcPr/>
          <w:p>
            <w:pPr>
              <w:pStyle w:val="Compac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 Robustness</w:t>
            </w:r>
          </w:p>
        </w:tc>
        <w:tc>
          <w:tcPr/>
          <w:p>
            <w:pPr>
              <w:pStyle w:val="Compac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Long-Horizon Drift</w:t>
            </w:r>
          </w:p>
        </w:tc>
        <w:tc>
          <w:tcPr/>
          <w:p>
            <w:pPr>
              <w:pStyle w:val="Compac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</w:t>
            </w:r>
          </w:p>
        </w:tc>
        <w:tc>
          <w:tcPr/>
          <w:p>
            <w:pPr>
              <w:pStyle w:val="Compact"/>
            </w:pPr>
            <w:r>
              <w:t xml:space="preserve">3/10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Standardised Eval</w:t>
            </w:r>
          </w:p>
        </w:tc>
        <w:tc>
          <w:tcPr/>
          <w:p>
            <w:pPr>
              <w:pStyle w:val="Compact"/>
            </w:pPr>
            <w:r>
              <w:t xml:space="preserve">3/10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Three corpus-level findings unique to this review: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IMU universal</w:t>
      </w:r>
      <w:r>
        <w:t xml:space="preserve">: 78% use IMU as fusion input. GPS-denied navigation = correcting IMU drift.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Adversarial dominates</w:t>
      </w:r>
      <w:r>
        <w:t xml:space="preserve">: largest environment (495, 29%). Not primarily indoor.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Deployment gap is structural</w:t>
      </w:r>
      <w:r>
        <w:t xml:space="preserve">: sim-to-deploy ratio hasn’t improved; Multi-Agent SLAM worst.</w:t>
      </w:r>
    </w:p>
    <w:p>
      <w:pPr>
        <w:pStyle w:val="BodyText"/>
      </w:pPr>
      <w:r>
        <w:t xml:space="preserve">Closing requires culture shift: stressed-env evaluation, honest drift reporting, community-enforced protocols, field deployment as publication standard.</w:t>
      </w:r>
    </w:p>
    <w:p>
      <w:r>
        <w:pict>
          <v:rect style="width:0;height:1.5pt" o:hralign="center" o:hrstd="t" o:hr="t"/>
        </w:pict>
      </w:r>
    </w:p>
    <w:bookmarkEnd w:id="41"/>
    <w:bookmarkStart w:id="42" w:name="references-key"/>
    <w:p>
      <w:pPr>
        <w:pStyle w:val="Heading2"/>
      </w:pPr>
      <w:r>
        <w:t xml:space="preserve">REFERENCES (key)</w:t>
      </w:r>
    </w:p>
    <w:p>
      <w:pPr>
        <w:pStyle w:val="Compact"/>
        <w:numPr>
          <w:ilvl w:val="0"/>
          <w:numId w:val="1009"/>
        </w:numPr>
      </w:pPr>
      <w:r>
        <w:t xml:space="preserve">[Campos2021] ORB-SLAM3, IEEE T-RO 2021</w:t>
      </w:r>
    </w:p>
    <w:p>
      <w:pPr>
        <w:pStyle w:val="Compact"/>
        <w:numPr>
          <w:ilvl w:val="0"/>
          <w:numId w:val="1009"/>
        </w:numPr>
      </w:pPr>
      <w:r>
        <w:t xml:space="preserve">[Qin2018] VINS-Mono, IEEE T-RO 2018</w:t>
      </w:r>
    </w:p>
    <w:p>
      <w:pPr>
        <w:pStyle w:val="Compact"/>
        <w:numPr>
          <w:ilvl w:val="0"/>
          <w:numId w:val="1009"/>
        </w:numPr>
      </w:pPr>
      <w:r>
        <w:t xml:space="preserve">[Zhang2014] LOAM, RSS 2014</w:t>
      </w:r>
    </w:p>
    <w:p>
      <w:pPr>
        <w:pStyle w:val="Compact"/>
        <w:numPr>
          <w:ilvl w:val="0"/>
          <w:numId w:val="1009"/>
        </w:numPr>
      </w:pPr>
      <w:r>
        <w:t xml:space="preserve">[Xu2022] FAST-LIO2, IEEE T-RO 2022</w:t>
      </w:r>
    </w:p>
    <w:p>
      <w:pPr>
        <w:pStyle w:val="Compact"/>
        <w:numPr>
          <w:ilvl w:val="0"/>
          <w:numId w:val="1009"/>
        </w:numPr>
      </w:pPr>
      <w:r>
        <w:t xml:space="preserve">[Shan2020] LIO-SAM, IROS 2020</w:t>
      </w:r>
    </w:p>
    <w:p>
      <w:pPr>
        <w:pStyle w:val="Compact"/>
        <w:numPr>
          <w:ilvl w:val="0"/>
          <w:numId w:val="1009"/>
        </w:numPr>
      </w:pPr>
      <w:r>
        <w:t xml:space="preserve">[Burri2016] EuRoC, IJRR 2016</w:t>
      </w:r>
    </w:p>
    <w:p>
      <w:pPr>
        <w:pStyle w:val="Compact"/>
        <w:numPr>
          <w:ilvl w:val="0"/>
          <w:numId w:val="1009"/>
        </w:numPr>
      </w:pPr>
      <w:r>
        <w:t xml:space="preserve">[Geiger2012] KITTI, CVPR 2012</w:t>
      </w:r>
    </w:p>
    <w:p>
      <w:pPr>
        <w:pStyle w:val="Compact"/>
        <w:numPr>
          <w:ilvl w:val="0"/>
          <w:numId w:val="1009"/>
        </w:numPr>
      </w:pPr>
      <w:r>
        <w:t xml:space="preserve">[DeTone2018] SuperPoint, CVPRW 2018</w:t>
      </w:r>
    </w:p>
    <w:p>
      <w:pPr>
        <w:pStyle w:val="Compact"/>
        <w:numPr>
          <w:ilvl w:val="0"/>
          <w:numId w:val="1009"/>
        </w:numPr>
      </w:pPr>
      <w:r>
        <w:t xml:space="preserve">[Arandjelovic2016] NetVLAD, CVPR 2016</w:t>
      </w:r>
    </w:p>
    <w:p>
      <w:pPr>
        <w:pStyle w:val="Compact"/>
        <w:numPr>
          <w:ilvl w:val="0"/>
          <w:numId w:val="1009"/>
        </w:numPr>
      </w:pPr>
      <w:r>
        <w:t xml:space="preserve">[Wang2017] DeepVO, ICRA 2017</w:t>
      </w:r>
    </w:p>
    <w:p>
      <w:pPr>
        <w:pStyle w:val="Compact"/>
        <w:numPr>
          <w:ilvl w:val="0"/>
          <w:numId w:val="1009"/>
        </w:numPr>
      </w:pPr>
      <w:r>
        <w:t xml:space="preserve">[Prisma2020] PRISMA 2020, BMJ 2021</w:t>
      </w:r>
    </w:p>
    <w:p>
      <w:pPr>
        <w:pStyle w:val="FirstParagraph"/>
      </w:pPr>
      <w:r>
        <w:rPr>
          <w:b/>
          <w:bCs/>
        </w:rPr>
        <w:t xml:space="preserve">Dataset</w:t>
      </w:r>
      <w:r>
        <w:t xml:space="preserve">: 02_data_processed/extracted_master.csv (1,700)</w:t>
      </w:r>
      <w:r>
        <w:t xml:space="preserve"> </w:t>
      </w:r>
      <w:r>
        <w:rPr>
          <w:b/>
          <w:bCs/>
        </w:rPr>
        <w:t xml:space="preserve">Figures</w:t>
      </w:r>
      <w:r>
        <w:t xml:space="preserve">: 06_analysis/output/figures_v2/ (9, 300 DPI)</w:t>
      </w:r>
      <w:r>
        <w:t xml:space="preserve"> </w:t>
      </w:r>
      <w:r>
        <w:rPr>
          <w:b/>
          <w:bCs/>
        </w:rPr>
        <w:t xml:space="preserve">GitHub</w:t>
      </w:r>
      <w:r>
        <w:t xml:space="preserve">: https://github.com/TheAbhishekraj/GPS_Denied_SLR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CANONICAL NUMBERS: Raw=2,000 | Dedup=1,719 | Included=1,692 | Excluded=27 | Extracted=1,700</w:t>
      </w:r>
      <w:r>
        <w:t xml:space="preserve"> </w:t>
      </w:r>
      <w:r>
        <w:t xml:space="preserve">Next: (1) inline citations; (2) LaTeX; (3) performance tables; (4) plagiarism check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2026-09-15T14:11:32Z</dcterms:created>
  <dcterms:modified xsi:type="dcterms:W3CDTF">2026-09-15T14:11:32Z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