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Rapport Stratégique : Ingénierie Macroéconomique, Technologique et Écologique pour la Souveraineté de la Tunisie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Dynamique Macroéconomique : Résilience du Dinar, Réserves de Change et Hégémonie du Dollar</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Anatomie de la Stabilisation du Dinar Tunisien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trajectoire du dinar tunisien (TND) face aux devises de référence, notamment le dollar américain (USD) et l'euro (EUR), présente une dynamique d'apparence contre-intuitive au regard des pressions macroéconomiques mondiales. Les données analytiques récentes indiquent une stabilisation structurelle, voire une appréciation ponctuelle de la monnaie nationale. À la fin de l'année 2025, le dinar tunisien s'était apprécié de 9,8 % face au dollar américain par rapport à son niveau enregistré à la fin de 2024. Au cours du premier semestre 2026, les taux de change sont demeurés remarquablement stables dans les limites des moyennes historiques, s'établissant aux alentours de 2,93 à 2,97 dinars pour un dollar, et de 3,37 à 3,38 dinars pour un euro.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Cette résistance, dans un contexte de turbulences économiques mondiales, s'explique par une combinaison complexe de facteurs endogènes et de politiques monétaires restrictives menées de front par la Banque Centrale de Tunisie (BCT). L'analyse des flux financiers démontre que le volume des transactions sur le marché des changes a fortement progressé, affichant une augmentation interannuelle de 23,7 %. Cette dynamique est principalement portée par le marché interbancaire, dont le volume d'opérations a franchi le cap des 9 milliards de dinars au terme du premier semestre 2026. Parallèlement, la politique monétaire de la BCT, axée sur le maintien de taux d'intérêt directeurs élevés afin de juguler les pressions inflationnistes internes, a eu pour corollaire de soutenir mécaniquement la valeur externe de la monnaie. La reprise soutenue des flux touristiques internationaux, générant plus d'un milliard d'euros de recettes au cours du premier semestre 2026, combinée à la résilience structurelle des transferts de fonds de la diaspora (les remises migratoires), a permis de renflouer continuellement les réserves en devises du pays, assurant ainsi une couverture adéquate des jours d'importation.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Le Sous-Jacent Monétaire : Les Bons du Trésor Américains et la Gestion des Réserves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interrogation récurrente dans l'analyse de la politique monétaire tunisienne postule que la BCT achèterait massivement des bons du Trésor américain (US Treasury bills) pour s'en servir de sous-jacent direct et exclusif à la création monétaire. L'examen des mécanismes institutionnels et du cadre légal de la BCT permet de réfuter cette théorie sous sa forme la plus stricte. La Tunisie n'opère pas sous un régime de caisse d'émission (</w:t>
      </w:r>
      <w:r w:rsidDel="00000000" w:rsidR="00000000" w:rsidRPr="00000000">
        <w:rPr>
          <w:i w:val="1"/>
          <w:iCs w:val="1"/>
          <w:rtl w:val="0"/>
        </w:rPr>
        <w:t xml:space="preserve">currency board</w:t>
      </w:r>
      <w:r w:rsidDel="00000000" w:rsidR="00000000" w:rsidRPr="00000000">
        <w:rPr>
          <w:rtl w:val="0"/>
        </w:rPr>
        <w:t xml:space="preserve">), système dans lequel chaque unité de monnaie locale émise doit être adossée à une quantité équivalente de devises étrangères. Conformément à la loi organique n° 2016-35 fixant son statut, la BCT dispose du monopole absolu de l'émission de la monnaie fiduciaire et mène une politique monétaire souveraine et autonome, bien que ses marges de manœuvre soient inévitablement influencées par le niveau de ses réserves de change.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Néanmoins, les réserves de change de la BCT, qui s'élevaient à environ 23,15 à 25,65 milliards de dinars (soit approximativement 7,9 à 8 milliards de dollars) à la mi-2026, sont rigoureusement constituées d'un panier diversifié de devises, d'or monétaire, de droits de tirage spéciaux (DTS) et d'actifs internationaux de haute qualité. Le dollar américain demeurant la devise de réserve hégémonique à l'échelle mondiale, une fraction hautement significative des réserves tunisiennes est effectivement placée dans des instruments souverains sûrs, liquides et rémunérateurs, au premier rang desquels figurent les bons du Trésor américain. Ces détentions ne servent pas à "produire" techniquement des dinars, mais constituent le bouclier financier permettant à la BCT de garantir la solvabilité internationale du pays, d'honorer le service de la dette extérieure et de lisser la volatilité du taux de change par des interventions ciblées sur le marché interbancaire.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Indicateur Macroéconomique (2025-2026)</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Valeur Observée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Tendance et Impact Structurel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Taux de change USD/TND (Juin 2026)</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2,93 - 2,97 TND</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Stabilisation / Légère appréciation amortissant l'inflation importée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Taux de change EUR/TND (Juin 2026)</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3,37 - 3,38 TND</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Stabilité relative favorisant la compétitivité des exportations vers 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Réserves de change (Valeur brute)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milliards USD</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Fluctuations régulées garantissant environ 92 jours d'importations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Dette extérieure (Mars 2026)</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42,9 milliards USD</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Hausse structurelle absorbant une large part des liquidités en devises</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L'Impact de la Réserve Fédérale Américaine (Fed) et le Piège de la Dette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resserrement de la politique monétaire américaine, caractérisé par une hausse historique et hors du commun des taux d'intérêt par la Fed pour combattre l'inflation domestique, engendre des ondes de choc asymétriques sur les économies émergentes. Pour la Tunisie, les conséquences de cette dynamique mondiale sont structurellement périlleuses et opèrent à travers plusieurs canaux de transmission macroéconomiques.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premier canal est celui de l'alourdissement mécanique du service de la dette extérieure. La dette extérieure tunisienne a atteint près de 42,9 milliards de dollars en mars 2026, représentant environ 80 % du produit intérieur brut (PIB). Une part substantielle de cette dette souveraine et privée est libellée en dollars. Le phénomène économique connu sous le nom de "Péché originel" (</w:t>
      </w:r>
      <w:r w:rsidDel="00000000" w:rsidR="00000000" w:rsidRPr="00000000">
        <w:rPr>
          <w:i w:val="1"/>
          <w:iCs w:val="1"/>
          <w:rtl w:val="0"/>
        </w:rPr>
        <w:t xml:space="preserve">Original Sin</w:t>
      </w:r>
      <w:r w:rsidDel="00000000" w:rsidR="00000000" w:rsidRPr="00000000">
        <w:rPr>
          <w:rtl w:val="0"/>
        </w:rPr>
        <w:t xml:space="preserve">), qui désigne l'incapacité d'un pays émergent à s'endetter à long terme dans sa propre monnaie sur les marchés internationaux, expose dramatiquement la Tunisie au risque de change. Lorsque la Fed augmente ses taux, les rendements obligataires mondiaux grimpent en tandem, renchérissant de manière prohibitive le coût du refinancement pour la Tunisie. Le service de la dette absorbe alors une part croissante, dépassant souvent les 20 %, des revenus d'exportation et puise dangereusement dans les réserves de change.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second canal est l'importation de l'inflation combinée à l'étranglement de la croissance locale. Un différentiel de taux d'intérêt trop marqué entre les États-Unis et la Tunisie encourage la fuite des capitaux vers les actifs américains considérés comme des valeurs refuges, exerçant une pression à la dépréciation sur le dinar. Une telle dépréciation exacerberait immédiatement l'inflation importée, la Tunisie étant un importateur net d'hydrocarbures, de céréales et de matières premières facturés en dollars. En réponse préventive, la BCT se voit contrainte de maintenir, voire de relever, ses propres taux directeurs pour préserver l'attractivité des placements en dinars. Toutefois, cette orthodoxie monétaire asphyxie l'économie réelle : le renchérissement du crédit paralyse l'investissement privé, freine la consommation des ménages et maintient la croissance économique à des niveaux anémiques, projetés sous la barre des 1,5 % à moyen terme.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Face à cette impasse de l'économie classique, où les variables monétaires semblent condamnées à un jeu à somme nulle, l'émergence de solutions disruptives basées sur des paradigmes technologiques de rupture s'avère indispensable pour restaurer la souveraineté économique.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Le Calcul Informatique ("Compute") comme Nouvel Actif Stratégique et l'IA Souveraine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Le Changement de Paradigme : L'Unité de Calcul Remplaçant le Pétrole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L'économie mondiale est en train de basculer d'un modèle thermo-industriel basé sur l'extraction d'hydrocarbures vers une économie de l'intelligence cognitive où la puissance de calcul informatique (le </w:t>
      </w:r>
      <w:r w:rsidDel="00000000" w:rsidR="00000000" w:rsidRPr="00000000">
        <w:rPr>
          <w:i w:val="1"/>
          <w:iCs w:val="1"/>
          <w:rtl w:val="0"/>
        </w:rPr>
        <w:t xml:space="preserve">compute</w:t>
      </w:r>
      <w:r w:rsidDel="00000000" w:rsidR="00000000" w:rsidRPr="00000000">
        <w:rPr>
          <w:rtl w:val="0"/>
        </w:rPr>
        <w:t xml:space="preserve">, matérialisé par les clusters de GPU et TPU) constitue le nouvel actif géostratégique primaire. Dans ce paradigme émergent, la richesse et la souveraineté d'une nation ne se mesurent plus uniquement à ses réserves de barils de pétrole, mais à sa capacité à générer et à traiter des "tokens" – l'unité sémantique et de calcul fondamentale ingérée et produite par les grands modèles de langage (LLM) et les architectures de réseaux neuronaux complexes. L'intelligence artificielle n'est donc plus perçue comme un simple secteur logiciel, mais comme une infrastructure critique de souveraineté nationale, au même titre que l'énergie ou la défense.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potentiel de la Tunisie dans ce domaine cognitif a été spectaculairement validé par l'acquisition d'InstaDeep, entreprise d'intelligence artificielle fondée en Tunisie, par le géant biotechnologique BioNTech pour une somme historique de 680 millions de dollars. Cet événement confirme que le capital intellectuel et l'ingénierie algorithmique tunisienne sont de classe mondiale. Cependant, la dépendance persistante à l'égard des infrastructures matérielles de calcul étrangères (le cloud hébergé en Amérique du Nord ou en Asie) limite drastiquement la création de valeur locale et expose les données nationales à des juridictions extraterritoriales.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L'établissement d'une intelligence artificielle tunisienne souveraine exige une stratégie nationale intégrée, à l'image des initiatives lancées par le Japon, l'Europe ou l'Arabie Saoudite. Une telle stratégie repose impérativement sur le contrôle exclusif des jeux de données d'entraînement (garantissant l'adéquation culturelle, linguistique et la sécurité de l'État), sur la maîtrise du code algorithmique, et surtout, sur la possession physique des infrastructures de calcul à très haute performance.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Composante Stratégique de l'IA</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Dépendance Actuelle (Cloud Étranger)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Modèle d'IA Souveraine Tunisienne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Données (Data)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Soumises aux lois extraterritoriales (ex: Cloud Act)</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Hébergement local, confidentialité absolue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Algorithmes (LLM)</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Boîtes noires commerciales, biais culturels importés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Modèles ouverts ou propriétaires, alignement culturel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Infrastructure (Compute)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CAPEX externalisé, OPEX fluctuant en dollars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Propriété de l'État/consortiums locaux, OPEX en dinars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Sécurité Nationale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Vulnérabilité aux embargos technologiques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Autonomie stratégique et résilience cybernétique</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Ingénierie Quantique, Simulation de la Réalité et "Voyage Spatio-Temporel"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maîtrise de la puissance de calcul exascale permet à une nation de transcender l'informatique traditionnelle pour aborder des domaines relevant de l'ingénierie avancée de la matière. Les simulateurs d'IA, bientôt couplés à l'informatique quantique, offrent la capacité de modéliser des interactions moléculaires et subatomiques avec une précision inégalée. C'est précisément cette convergence que des entreprises comme InstaDeep exploitent pour concevoir de nouvelles thérapies géniques ou de nouveaux matériaux sans avoir recours à des décennies de tâtonnements empiriques en laboratoire.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concept audacieux de "voyage mental et spatio-temporel" trouve ici une assise technologique concrète. Au lieu d'investir des centaines de milliards de dollars dans des programmes d'habitation spatiale ou d'ingénierie aérospatiale lourde dont le CAPEX est prohibitif pour un État émergent, la puissance de calcul permet de générer des simulations physiques hyper-réalistes. En associant des IA génératives multimodales à des interfaces cerveau-machine (Brain-Computer Interfaces - BCI) de nouvelle génération, il devient envisageable de simuler des environnements cosmiques ou historiques à la perfection moléculaire. L'IA permet alors à la conscience humaine d'explorer des espaces recréés numériquement de manière totalement immersive.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Cette substitution de l'exploration physique par l'exploration neuronale numérique représente une optimisation radicale des ressources de l'humanité. Elle déplace l'empreinte financière et énergétique de la construction de fusées vers la construction de centres de données locaux ultra-denses, tout en propulsant la compétition géopolitique vers un "nouveau type de voyage" immatériel. Le coût en énergie d'une telle infrastructure devient le seul véritable goulot d'étranglement, nécessitant des solutions de refroidissement et d'alimentation électrique hors normes.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Centres de Données Souterrains, Phosphogypse et Ingénierie de la Matière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Réhabilitation des Anciennes Mines en Datacenters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défi majeur de la souveraineté computationnelle réside dans la dissipation thermique. Les fermes de GPU génèrent une quantité massive de chaleur, et le refroidissement peut représenter jusqu'à 40 % des dépenses d'exploitation (OPEX) d'un centre de données conventionnel en surface. Face au climat aride de la Tunisie, la localisation de ces infrastructures critiques à l'air libre constituerait une aberration énergétique.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solution thermodynamique optimale réside dans la réhabilitation géotechnique des anciennes infrastructures minières, notamment dans les bassins miniers historiques de Gafsa. Le déploiement de datacenters souverains dans ces cavités souterraines permet de bénéficier d'une température géothermique naturelle, constante tout au long de l'année (généralement comprise entre 15 °C et 20 °C), totalement indépendante des fluctuations thermiques extrêmes de la surface. Cet isolement abaisse drastiquement l'indice d'efficacité d'utilisation de l'énergie (PUE) en réduisant le besoin en climatisation mécanique (CRAC). De surcroît, cet enfouissement assure une protection physique et militaire inégalée pour des infrastructures abritant les données critiques de la nation, s'inscrivant dans une doctrine globale de défense de la souveraineté numérique.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Extraction des Terres Rares : L'Alchimie du Phosphogypse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construire le matériel informatique nécessaire à ces supercalculateurs, l'approvisionnement en éléments de terres rares (REE - Rare Earth Elements) est critique. Or, la Tunisie dispose d'un gisement secondaire inexploité d'une ampleur colossale : le phosphogypse (PG). Sous-produit toxique de la fabrication de l'acide phosphorique par le Groupe Chimique Tunisien, ce déchet industriel est accumulé depuis des décennies, notamment à Gabès, provoquant des désastres écologiques marins majeurs chiffrés à plus de 58 millions de dollars de pertes annuelles pour l'écosystème du golfe.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Cependant, les recherches minéralogiques récentes révèlent que les phosphates du bassin de Gafsa sont exceptionnellement riches en terres rares, affichant des concentrations moyennes de 322 mg/kg, certaines strates atteignant même plus de 1700 mg/kg. Lors du traitement du minerai par l'acide sulfurique ("voie humide"), plus de 70 % de ces terres rares (incluant l'yttrium, le lanthane, le cérium et le néodyme) ne passent pas dans l'acide phosphorique, mais sont précipitées et piégées dans la matrice cristalline du phosphogypse.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L'extraction de ces métaux stratégiques transforme un passif environnemental en un atout géopolitique majeur. Les procédés hydrométallurgiques constituent la voie la plus prometteuse pour briser la structure du sulfate de calcium et libérer les ions de terres rares. L'utilisation de solutions d'acide chlorhydrique (HCl) ou d'acide nitrique (HNO3) s'avère nettement plus performante que l'acide sulfurique, en raison de la plus grande solubilité du gypse dans ces milieux.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études cinétiques démontrent que des conditions de lixiviation utilisant 1,65 mol/L de HCl, un rapport solide/liquide de 1/10 et une température modérée de 60 °C permettent d'atteindre une efficacité de récupération de 65,6 % pour l'ensemble des terres rares (ΣREE), avec des taux de récupération culminant à 73,8 % spécifiquement pour l'yttrium. La dynamique de cette réaction est précisément modélisée par le modèle du noyau rétrécissant (Shrinking Core Model), révélant une énergie d'activation apparente de 20,65 kJ·mol⁻¹, ce qui confirme la faisabilité industrielle du procédé à des températures gérables. Des méthodes complémentaires, telles que l'irradiation par micro-ondes et le broyage à haute énergie de la matrice de PG avant l'attaque acide, permettent d'exposer davantage de surface réactive, maximisant ainsi les rendements d'extraction tout en limitant le volume de réactifs chimiques requis.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de Lixiviation du PG</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Concentration Modélisée (mol/L)</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Température de Process (°C)</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Efficacité d'Extraction Globale (ΣREE)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Élément Optimisé / Taux Max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H₂SO₄ (Acide Sulfurique)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1.0 - 4.0</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25 - 60</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 - 40 %</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Faible rentabilité globale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HCl (Acide Chlorhydrique)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1.5 - 1.65</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60 - 80</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 - 65,6 %</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Yttrium (73,8 %)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HNO₃ (Acide Nitrique)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1.5 - 3.0</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25 - 80</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57 % - 83,4 %</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Lanthane (73,4 %)</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Synthèse des données hydrométallurgiques extraites de la littérature scientifique.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Symbiose Industrielle : Refroidissement par les Rejets et Nouveaux Matériaux</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L'intégration de cette usine de traitement hydrométallurgique avec les datacenters souterrains crée une boucle d'écologie industrielle. Les immenses volumes d'eau industrielle et les lixiviats liquides générés lors du traitement du phosphogypse peuvent être exploités thermiquement avant leur retraitement final. En les faisant circuler dans des échangeurs de chaleur géants ou des pompes à chaleur industrielles connectées aux installations de l'IA, ils agissent comme un puits thermique massif, absorbant la chaleur des serveurs.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 plus, une fois le phosphogypse débarrassé de ses impuretés radioactives, de ses métaux lourds et vidé de ses terres rares précieuses, le gypse résiduel ultra-purifié devient une "nouvelle matière première". Il est idéalement adapté pour la fabrication de plaques de plâtre ignifugées, de ciments spéciaux et d'isolants thermiques de nouvelle génération. Ces matériaux peuvent être directement réemployés pour aménager et isoler les galeries minières hébergeant les datacenters, réduisant le coût en capital de la construction.</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La Révolution Hydrique : Dessalement Intelligent, Pipelines et Agrivoltaïsme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Le Dessalement Face au Stress Hydrique Structurel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Tunisie souffre d'un stress hydrique endémique qui menace sa sécurité alimentaire et son développement industriel. Le recours au dessalement de l'eau de mer n'est plus une option de confort, mais une nécessité de survie nationale. La thermodynamique du dessalement, bien que limitante, est bien comprise. L'énergie théorique minimale requise pour vaincre la pression osmotique de l'eau de mer (environ 27 atmosphères) est de l'ordre de 0,75 à 1 kWh par mètre cube.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Cependant, dans la réalité des opérations industrielles par osmose inverse (RO - Reverse Osmosis), les inefficacités des membranes, les frottements fluides et les besoins annexes portent la consommation d'énergie spécifique (SEC) entre 3 et 5,5 kWh par mètre cube d'eau douce produite. Coupler ces usines de dessalement côtières à des sources d'énergie renouvelable de très grande échelle est la seule méthode pour garantir l'indépendance hydrique sans aggraver la facture énergétique du pays.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Le Maillage Spatial : Réseaux de Pipelines Gérés par IA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Produire l'eau sur les côtes n'est que la première étape ; la distribuer à l'échelle du territoire national vers l'arrière-pays et les zones agricoles arides nécessite un maillage d'ingénierie hydraulique de grande envergure. Le transport de l'eau est hautement énergivore. Les études de dynamique des fluides indiquent que le transport horizontal de l'eau sur 100 kilomètres consomme environ 0,06 kWh par mètre cube, tandis que son élévation verticale coûte approximativement 0,05 kWh par 100 mètres de dénivelé.</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Pour optimiser ce fardeau énergétique, la distribution doit être intelligemment gérée par l'IA souveraine du pays. Les algorithmes d'apprentissage par renforcement, nourris par des millions de capteurs IoT placés sur les canalisations, peuvent moduler la pression des pompes en temps réel en fonction de la demande locale prédictive, des tarifs de l'électricité solaire, des niveaux d'évaporation et des modèles météorologiques. Cette gestion intelligente prévient les coups de bélier hydrauliques, détecte instantanément les fuites, et lisse les pics de consommation énergétique, transformant un simple tuyau en une infrastructure de transport de fluides adaptative.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Agrivoltaïsme : Symbiose de l'Ombre et de la Lumière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L'alimentation de cet écosystème en électricité repose sur un déploiement massif de panneaux solaires. Toutefois, pour éviter l'artificialisation des sols et le conflit d'usage des terres, ces infrastructures s'organisent sous forme de systèmes agrivoltaïques, permettant de cultiver des terres agricoles directement sous les modules photovoltaïques.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Cette architecture engendre un microclimat agricole révolutionnaire. L'ombre partielle fournie par les panneaux solaires filtre le rayonnement direct, abaissant la température des feuilles des cultures et réduisant considérablement l'évaporation de l'eau à la surface du sol. Les recherches agronomiques confirment que les systèmes agrivoltaïques diminuent les besoins en irrigation de l'ordre de 20 % à 40 %, tout en augmentant la résilience des plantes face aux vagues de chaleur estivales. L'efficacité d'utilisation de l'eau (WUE), mesurée par la biomasse produite par goutte d'eau, augmente de manière exponentielle. L'électricité générée alimente les pipelines et les datacenters, tandis que l'eau dessalée coule sous les panneaux pour irriguer un nouveau type d'agriculture.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La Truffe du Désert : Biosécurité, Nutrition et Ingénierie Sociale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La Thermiculture : L'Or du Désert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C'est sous ces champs solaires agrivoltaïques, délicatement irrigués par l'eau dessalée via un système de goutte-à-goutte géré par l'IA, que la production d'une nouvelle ressource alimentaire majeure se déploie : la culture de la truffe du désert (principalement les espèces </w:t>
      </w:r>
      <w:r w:rsidDel="00000000" w:rsidR="00000000" w:rsidRPr="00000000">
        <w:rPr>
          <w:i w:val="1"/>
          <w:iCs w:val="1"/>
          <w:rtl w:val="0"/>
        </w:rPr>
        <w:t xml:space="preserve">Terfezia boudieri</w:t>
      </w:r>
      <w:r w:rsidDel="00000000" w:rsidR="00000000" w:rsidRPr="00000000">
        <w:rPr>
          <w:rtl w:val="0"/>
        </w:rPr>
        <w:t xml:space="preserve"> et </w:t>
      </w:r>
      <w:r w:rsidDel="00000000" w:rsidR="00000000" w:rsidRPr="00000000">
        <w:rPr>
          <w:i w:val="1"/>
          <w:iCs w:val="1"/>
          <w:rtl w:val="0"/>
        </w:rPr>
        <w:t xml:space="preserve">Terfezia claveryi</w:t>
      </w:r>
      <w:r w:rsidDel="00000000" w:rsidR="00000000" w:rsidRPr="00000000">
        <w:rPr>
          <w:rtl w:val="0"/>
        </w:rPr>
        <w:t xml:space="preserve">). Ces champignons hypogés, endémiques des zones arides d'Afrique du Nord et du Moyen-Orient, poussent en formant une symbiose mycorhizienne obligatoire avec les racines de plantes hôtes spécifiques, principalement des arbustes du genre </w:t>
      </w:r>
      <w:r w:rsidDel="00000000" w:rsidR="00000000" w:rsidRPr="00000000">
        <w:rPr>
          <w:i w:val="1"/>
          <w:iCs w:val="1"/>
          <w:rtl w:val="0"/>
        </w:rPr>
        <w:t xml:space="preserve">Helianthemum</w:t>
      </w:r>
      <w:r w:rsidDel="00000000" w:rsidR="00000000" w:rsidRPr="00000000">
        <w:rPr>
          <w:rtl w:val="0"/>
        </w:rPr>
        <w:t xml:space="preserve"> (comme </w:t>
      </w:r>
      <w:r w:rsidDel="00000000" w:rsidR="00000000" w:rsidRPr="00000000">
        <w:rPr>
          <w:i w:val="1"/>
          <w:iCs w:val="1"/>
          <w:rtl w:val="0"/>
        </w:rPr>
        <w:t xml:space="preserve">Helianthemum sessiliflorum</w:t>
      </w:r>
      <w:r w:rsidDel="00000000" w:rsidR="00000000" w:rsidRPr="00000000">
        <w:rPr>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culture de ce champignon, appelée "thermiculture", est une merveille d'adaptation à la rareté. La plante hôte, une fois mycorhizée, voit sa physiologie dopée par le champignon : ses taux de photosynthèse, de transpiration et de respiration augmentent considérablement, lui conférant une résistance exceptionnelle au stress hydrique. Le système racinaire protège les sols fragiles de l'érosion et restaure la fertilité des terres désertifiées. Fait crucial, cette symbiose ne requiert qu'environ 200 litres d'eau par mètre carré par an (soit 200 mm de précipitations ou d'irrigation), une quantité infime comparée aux cultures céréalières ou maraîchères traditionnelles, ce qui s'inscrit parfaitement dans l'environnement contraint de l'agrivoltaïsme.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Productivité Nutritionnelle de l'Eau (NWP) et Lutte contre la Malnutrition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L'aspect le plus disruptif de la truffe du désert réside dans sa formidable valeur biochimique. Les analyses démontrent que, sur la base de la matière sèche, ces truffes contiennent entre 20 % et 27 % de protéines de haute qualité (incluant tous les acides aminés essentiels), 3 % à 8 % de lipides, ainsi que des niveaux élevés de potassium, de fer, de fibres, de vitamines et de composés antioxydants et antibactériens.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Cette densité nutritionnelle permet de redéfinir l'agriculture à travers le concept émergent de Productivité Nutritionnelle de l'Eau (NWP - Nutritional Water Productivity). Cet indice évalue non pas le simple tonnage de biomasse récoltée par mètre cube d'eau, mais la quantité absolue de nutriments vitaux (protéines, kilocalories, minéraux) générée par unité de ressource hydrique consommée. Face aux menaces de famine induites par les dérèglements climatiques, la capacité de produire des protéines complètes avec une fraction de l'eau nécessitée par l'élevage bovin ou les cultures protéagineuses classiques constitue un rempart absolu de sécurité alimentaire.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Évolution Intellectuelle, Inclusion Financière et Stabilité Sociale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 implications de cette révolution agricole dépassent la simple survie biologique pour s'inscrire dans une perspective d'évolution intellectuelle. La littérature scientifique atteste qu'un accès soutenu et démocratisé à des protéines de haute qualité, à des acides gras essentiels et au fer durant les phases critiques du développement cérébral éradique les déficits cognitifs induits par la sous-nutrition latente. En élevant la ligne de base nutritionnelle de la population grâce à des produits à haute densité fonctionnelle comme la truffe du désert, l'État maximise le potentiel neurologique de sa jeunesse. Pour une nation ambitionnant de bâtir son économie sur l'intelligence artificielle et l'ingénierie avancée, le renforcement de son capital cognitif humain par la nutrition est une politique biopolitique fondamentale.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Sur le plan socio-économique, la truffe du désert est un produit de luxe dont la demande internationale, notamment dans les pays du Golfe et en Europe, surpasse largement l'offre. Le prix de vente oscille entre 20 et 60 euros le kilogramme, et peut grimper jusqu'à 220 euros sur certains marchés de niche. Avec des rendements pouvant atteindre 400 kg par hectare en régime optimisé à partir de la cinquième ou sixième année de plantation, les revenus générés par hectare sont spectaculaires. L'intégration des agriculteurs et des populations des régions reculées et marginalisées dans cette chaîne de valeur agro-technologique constituerait un levier massif d'inclusion financière. En générant des liquidités importantes et en bancarisant ces communautés (potentiellement via l'infrastructure numérique de l'État), ce modèle éradique la pauvreté structurelle de l'arrière-pays et consolide la cohésion sociale de la République.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Modélisation Énergétique Quantitative du Mégaprojet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concrétisation matérielle de cette vision holistique nécessite une modélisation énergétique rigoureuse. Afin d'évaluer la faisabilité de ce programme de souveraineté intégrée, les besoins énergétiques annuels sont calculés ci-dessous pour chaque macro-composant du système.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Énergie pour la Révolution Hydrique (Dessalement et Pompage)</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Volume de production ciblé :</w:t>
      </w:r>
      <w:r w:rsidDel="00000000" w:rsidR="00000000" w:rsidRPr="00000000">
        <w:rPr>
          <w:rtl w:val="0"/>
        </w:rPr>
        <w:t xml:space="preserve"> La production de 500 millions de mètres cubes (Mm³) d'eau douce par an. Ce volume est dimensionné pour combler les déficits structurels des barrages, fournir l'eau potable aux zones urbaines et garantir l'irrigation de précision du réseau agrivoltaïque de truffes du désert.</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Consommation du Dessalement (Osmose Inverse) :</w:t>
      </w:r>
      <w:r w:rsidDel="00000000" w:rsidR="00000000" w:rsidRPr="00000000">
        <w:rPr>
          <w:rtl w:val="0"/>
        </w:rPr>
        <w:t xml:space="preserve"> En adoptant une efficacité énergétique industrielle standard pour l'osmose inverse moderne de l'eau de mer fixée à 4 kWh par mètre cube.</w:t>
      </w:r>
    </w:p>
    <w:p w:rsidR="00000000" w:rsidDel="00000000" w:rsidP="00000000" w:rsidRDefault="00000000" w:rsidRPr="00000000" w14:paraId="0000006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Calcul :</w:t>
      </w:r>
      <w:r w:rsidDel="00000000" w:rsidR="00000000" w:rsidRPr="00000000">
        <w:rPr>
          <w:rtl w:val="0"/>
        </w:rPr>
        <w:t xml:space="preserve"> 500 000 000 \text{ m}^3 \times 4 \text{ kWh/m}^3 = 2 000 000 000 \text{ kWh}, soit </w:t>
      </w:r>
      <w:r w:rsidDel="00000000" w:rsidR="00000000" w:rsidRPr="00000000">
        <w:rPr>
          <w:b w:val="1"/>
          <w:bCs w:val="1"/>
          <w:rtl w:val="0"/>
        </w:rPr>
        <w:t xml:space="preserve">2,00 TWh/an</w:t>
      </w:r>
      <w:r w:rsidDel="00000000" w:rsidR="00000000" w:rsidRPr="00000000">
        <w:rPr>
          <w:rtl w:val="0"/>
        </w:rPr>
        <w:t xml:space="preserve">.</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Consommation du Réseau de Pipelines Intelligents :</w:t>
      </w:r>
      <w:r w:rsidDel="00000000" w:rsidR="00000000" w:rsidRPr="00000000">
        <w:rPr>
          <w:rtl w:val="0"/>
        </w:rPr>
        <w:t xml:space="preserve"> Le pompage de cette eau depuis les côtes (ex: Gabès, Sfax) vers l'intérieur du pays (bassin de Gafsa, Kasserine) sur une distance moyenne de 300 kilomètres avec un dénivelé topographique moyen de 400 mètres.</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Coût du transport horizontal :</w:t>
      </w:r>
      <w:r w:rsidDel="00000000" w:rsidR="00000000" w:rsidRPr="00000000">
        <w:rPr>
          <w:rtl w:val="0"/>
        </w:rPr>
        <w:t xml:space="preserve"> 0,06 \text{ kWh} \times 3 (\text{centaines de km}) = 0,18 \text{ kWh/m}^3.</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Coût de l'élévation verticale :</w:t>
      </w:r>
      <w:r w:rsidDel="00000000" w:rsidR="00000000" w:rsidRPr="00000000">
        <w:rPr>
          <w:rtl w:val="0"/>
        </w:rPr>
        <w:t xml:space="preserve"> 0,05 \text{ kWh} \times 4 (\text{centaines de mètres}) = 0,20 \text{ kWh/m}^3.</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Besoin total de pompage unitaire :</w:t>
      </w:r>
      <w:r w:rsidDel="00000000" w:rsidR="00000000" w:rsidRPr="00000000">
        <w:rPr>
          <w:rtl w:val="0"/>
        </w:rPr>
        <w:t xml:space="preserve"> 0,38 \text{ kWh/m}^3.</w:t>
      </w:r>
    </w:p>
    <w:p w:rsidR="00000000" w:rsidDel="00000000" w:rsidP="00000000" w:rsidRDefault="00000000" w:rsidRPr="00000000" w14:paraId="0000007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Calcul total :</w:t>
      </w:r>
      <w:r w:rsidDel="00000000" w:rsidR="00000000" w:rsidRPr="00000000">
        <w:rPr>
          <w:rtl w:val="0"/>
        </w:rPr>
        <w:t xml:space="preserve"> 500 000 000 \text{ m}^3 \times 0,38 \text{ kWh/m}^3 = 190 000 000 \text{ kWh}, soit </w:t>
      </w:r>
      <w:r w:rsidDel="00000000" w:rsidR="00000000" w:rsidRPr="00000000">
        <w:rPr>
          <w:b w:val="1"/>
          <w:bCs w:val="1"/>
          <w:rtl w:val="0"/>
        </w:rPr>
        <w:t xml:space="preserve">0,19 TWh/an</w:t>
      </w:r>
      <w:r w:rsidDel="00000000" w:rsidR="00000000" w:rsidRPr="00000000">
        <w:rPr>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Énergie pour la Souveraineté Cognitive (Datacenters IA)</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Capacité informatique ciblée :</w:t>
      </w:r>
      <w:r w:rsidDel="00000000" w:rsidR="00000000" w:rsidRPr="00000000">
        <w:rPr>
          <w:rtl w:val="0"/>
        </w:rPr>
        <w:t xml:space="preserve"> Le déploiement de 3 mégacentres de données (infrastructures </w:t>
      </w:r>
      <w:r w:rsidDel="00000000" w:rsidR="00000000" w:rsidRPr="00000000">
        <w:rPr>
          <w:i w:val="1"/>
          <w:iCs w:val="1"/>
          <w:rtl w:val="0"/>
        </w:rPr>
        <w:t xml:space="preserve">hyperscale</w:t>
      </w:r>
      <w:r w:rsidDel="00000000" w:rsidR="00000000" w:rsidRPr="00000000">
        <w:rPr>
          <w:rtl w:val="0"/>
        </w:rPr>
        <w:t xml:space="preserve">) hébergés dans d'anciennes mines réhabilitées, dotés chacun d'une capacité électrique opérationnelle de 100 MW. Cette capacité totale de 300 MW (environ 0,3 GW) est requise pour entraîner les immenses modèles de langage (LLM) de l'État, gérer la cryptographie nationale et soutenir les simulations de la réalité physique et quantique.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Efficacité énergétique :</w:t>
      </w:r>
      <w:r w:rsidDel="00000000" w:rsidR="00000000" w:rsidRPr="00000000">
        <w:rPr>
          <w:rtl w:val="0"/>
        </w:rPr>
        <w:t xml:space="preserve"> Grâce au refroidissement géothermique naturel des mines et à l'utilisation du lixiviat de phosphogypse comme dissipateur thermique, le datacenter fonctionne à pleine charge continue avec un PUE (Power Usage Effectiveness) extrêmement bas.</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Consommation annuelle :</w:t>
      </w:r>
      <w:r w:rsidDel="00000000" w:rsidR="00000000" w:rsidRPr="00000000">
        <w:rPr>
          <w:rtl w:val="0"/>
        </w:rPr>
        <w:t xml:space="preserve"> En postulant un fonctionnement ininterrompu (8 760 heures par an).</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Calcul :</w:t>
      </w:r>
      <w:r w:rsidDel="00000000" w:rsidR="00000000" w:rsidRPr="00000000">
        <w:rPr>
          <w:rtl w:val="0"/>
        </w:rPr>
        <w:t xml:space="preserve"> 300 \text{ MW} \times 8760 \text{ h} = 2 628 000 \text{ MWh}, soit </w:t>
      </w:r>
      <w:r w:rsidDel="00000000" w:rsidR="00000000" w:rsidRPr="00000000">
        <w:rPr>
          <w:b w:val="1"/>
          <w:bCs w:val="1"/>
          <w:rtl w:val="0"/>
        </w:rPr>
        <w:t xml:space="preserve">~2,63 TWh/an</w:t>
      </w:r>
      <w:r w:rsidDel="00000000" w:rsidR="00000000" w:rsidRPr="00000000">
        <w:rPr>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Énergie pour l'Ingénierie de la Matière (Extraction de Terres Rares)</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Volume de traitement ciblé :</w:t>
      </w:r>
      <w:r w:rsidDel="00000000" w:rsidR="00000000" w:rsidRPr="00000000">
        <w:rPr>
          <w:rtl w:val="0"/>
        </w:rPr>
        <w:t xml:space="preserve"> Le retraitement de 2 millions de tonnes de phosphogypse par an pour assainir progressivement les décharges toxiques et en extraire les métaux stratégiques.</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Consommation du processus hydrométallurgique :</w:t>
      </w:r>
      <w:r w:rsidDel="00000000" w:rsidR="00000000" w:rsidRPr="00000000">
        <w:rPr>
          <w:rtl w:val="0"/>
        </w:rPr>
        <w:t xml:space="preserve"> L'attaque chimique par acide (HCl ou HNO3), impliquant un chauffage des réacteurs à 60°C, une agitation mécanique intense continue (broyage fin) et des phases de centrifugation pour la séparation solide-liquide, requiert une énergie thermique et électrique combinée évaluée à environ 250 kWh par tonne de matière traitée.</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Consommation annuelle :</w:t>
      </w:r>
    </w:p>
    <w:p w:rsidR="00000000" w:rsidDel="00000000" w:rsidP="00000000" w:rsidRDefault="00000000" w:rsidRPr="00000000" w14:paraId="0000007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Calcul :</w:t>
      </w:r>
      <w:r w:rsidDel="00000000" w:rsidR="00000000" w:rsidRPr="00000000">
        <w:rPr>
          <w:rtl w:val="0"/>
        </w:rPr>
        <w:t xml:space="preserve"> 2 000 000 \text{ tonnes} \times 250 \text{ kWh/tonne} = 500 000 000 \text{ kWh}, soit </w:t>
      </w:r>
      <w:r w:rsidDel="00000000" w:rsidR="00000000" w:rsidRPr="00000000">
        <w:rPr>
          <w:b w:val="1"/>
          <w:bCs w:val="1"/>
          <w:rtl w:val="0"/>
        </w:rPr>
        <w:t xml:space="preserve">0,50 TWh/an</w:t>
      </w:r>
      <w:r w:rsidDel="00000000" w:rsidR="00000000" w:rsidRPr="00000000">
        <w:rPr>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Bilan Énergétique Global et Dimensionnement de l'Infrastructure Solaire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Pôle Stratégique du Projet</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Consommation Électrique Annuelle (Estimation TWh)</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du Bilan Total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Dessalement de l'eau de mer (500 Mm³)</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TWh</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37,6 %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Datacenters IA Souverains (300 MW continus)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2,63 TWh</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49,4 %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Extraction Terres Rares (2 Mt Phosphogypse)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 TWh</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Réseau de pompage national (Pipelines d'eau)</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0,19 TWh</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Demande Énergétique Totale du Mégaprojet</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~5,32 TWh / an</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100 %</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Afin de générer une production annuelle de </w:t>
      </w:r>
      <w:r w:rsidDel="00000000" w:rsidR="00000000" w:rsidRPr="00000000">
        <w:rPr>
          <w:b w:val="1"/>
          <w:bCs w:val="1"/>
          <w:rtl w:val="0"/>
        </w:rPr>
        <w:t xml:space="preserve">5,32 TWh</w:t>
      </w:r>
      <w:r w:rsidDel="00000000" w:rsidR="00000000" w:rsidRPr="00000000">
        <w:rPr>
          <w:rtl w:val="0"/>
        </w:rPr>
        <w:t xml:space="preserve"> en s'appuyant exclusivement sur l'énergie solaire, il faut prendre en compte le facteur de charge des installations photovoltaïques en Tunisie. Ce facteur (qui reflète l'intermittence de l'ensoleillement et les pertes de conversion) est généralement estimé à environ 20 % dans les régions du centre et du sud du pays.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capacité installée requise se calcule ainsi : 5,32 \text{ TWh} / (8760 \text{ heures} \times 0,20) = \text{env. } 3,03 \text{ Gigawatts (GW)}.</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Le déploiement d'un parc solaire de </w:t>
      </w:r>
      <w:r w:rsidDel="00000000" w:rsidR="00000000" w:rsidRPr="00000000">
        <w:rPr>
          <w:b w:val="1"/>
          <w:bCs w:val="1"/>
          <w:rtl w:val="0"/>
        </w:rPr>
        <w:t xml:space="preserve">3 GW</w:t>
      </w:r>
      <w:r w:rsidDel="00000000" w:rsidR="00000000" w:rsidRPr="00000000">
        <w:rPr>
          <w:rtl w:val="0"/>
        </w:rPr>
        <w:t xml:space="preserve">, architecturé sous la forme de structures agrivoltaïques surplombant les plantations d'arbustes </w:t>
      </w:r>
      <w:r w:rsidDel="00000000" w:rsidR="00000000" w:rsidRPr="00000000">
        <w:rPr>
          <w:i w:val="1"/>
          <w:iCs w:val="1"/>
          <w:rtl w:val="0"/>
        </w:rPr>
        <w:t xml:space="preserve">Helianthemum</w:t>
      </w:r>
      <w:r w:rsidDel="00000000" w:rsidR="00000000" w:rsidRPr="00000000">
        <w:rPr>
          <w:rtl w:val="0"/>
        </w:rPr>
        <w:t xml:space="preserve"> mycorhizés pour la truffe du désert, nécessiterait une emprise foncière comprise entre 4 500 et 6 000 hectares. À l'échelle de la géographie tunisienne, cette superficie (soit 45 à 60 kilomètres carrés) représente une fraction marginale du territoire national. Loin d'artificialiser le sol, cette installation transforme littéralement une étendue aride en un réacteur symbiotique générant simultanément de l'énergie décarbonée, de l'eau douce, des métaux rares, de la puissance de calcul souveraine et une ressource alimentaire de très haute densité nutritionnelle.</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Synthèse Prospective et Implications Stratégiques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L'ingénierie conceptuelle détaillée au sein de ce rapport transcende la simple gestion de crise macroéconomique. Les vulnérabilités structurelles de la Tunisie — le poids d'une dette extérieure libellée en dollars la soumettant aux dictats de la Réserve Fédérale, la volatilité apparente de son dinar, l'importation de l'inflation, le chômage structurel et le stress hydrique endémique — ne peuvent être résolues de manière pérenne par l'orthodoxie monétaire isolée, ni par la simple contraction de nouveaux prêts. L'indépendance de la Banque Centrale de Tunisie, cruciale pour prévenir le désastre d'une monétisation directe du déficit budgétaire (qui conduirait inévitablement à l'hyperinflation, comme l'ont démontré les crises vénézuéliennes ou zimbabwéennes), doit s'accompagner d'une politique d'industrialisation radicale de nouvelle génération.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stratégie proposée repose sur l'hybridation des infrastructures physiques et numériques :</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L'Émancipation Cognitive et Matérielle :</w:t>
      </w:r>
      <w:r w:rsidDel="00000000" w:rsidR="00000000" w:rsidRPr="00000000">
        <w:rPr>
          <w:rtl w:val="0"/>
        </w:rPr>
        <w:t xml:space="preserve"> En actant que la puissance de calcul (le </w:t>
      </w:r>
      <w:r w:rsidDel="00000000" w:rsidR="00000000" w:rsidRPr="00000000">
        <w:rPr>
          <w:i w:val="1"/>
          <w:iCs w:val="1"/>
          <w:rtl w:val="0"/>
        </w:rPr>
        <w:t xml:space="preserve">compute</w:t>
      </w:r>
      <w:r w:rsidDel="00000000" w:rsidR="00000000" w:rsidRPr="00000000">
        <w:rPr>
          <w:rtl w:val="0"/>
        </w:rPr>
        <w:t xml:space="preserve">) a définitivement supplanté les hydrocarbures comme étalon de la richesse mondiale, la création d'une infrastructure d'IA souveraine, hébergée dans la froideur géothermique d'anciennes mines, sécurise l'avenir technologique de la nation. Ce supercalculateur permet d'échapper au coût prohibitif de l'aérospatial physique en autorisant la modélisation parfaite du réel (voyage cognitif et spatio-temporel via simulation).</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L'Alchimie Écologique et Industrielle :</w:t>
      </w:r>
      <w:r w:rsidDel="00000000" w:rsidR="00000000" w:rsidRPr="00000000">
        <w:rPr>
          <w:rtl w:val="0"/>
        </w:rPr>
        <w:t xml:space="preserve"> L'extraction de terres rares (avec des rendements dépassant 65 % par voie chlorhydrique ou nitrique) à partir du désastre écologique du phosphogypse, couplée au recyclage thermique de ses effluents pour refroidir les serveurs de l'IA, démontre que la maîtrise de la chimie minérale permet de restaurer l'environnement tout en s'emparant des composants critiques de l'économie quantique.</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L'Ingénierie du Vivant et la Biosécurité :</w:t>
      </w:r>
      <w:r w:rsidDel="00000000" w:rsidR="00000000" w:rsidRPr="00000000">
        <w:rPr>
          <w:rtl w:val="0"/>
        </w:rPr>
        <w:t xml:space="preserve"> Le maillage du territoire par des pipelines intelligents gérés par IA, transportant l'eau dessalée vers des structures agrivoltaïques massives (3 GW), initie une réingénierie complète de l'agriculture. La thermiculture de la truffe du désert ne se contente pas d'offrir un rendement financier exceptionnel désenclavant les populations rurales ; elle réinvente la Productivité Nutritionnelle de l'Eau. En produisant des protéines complexes et des acides aminés essentiels en plein désert, cette filière combat la faim, prévient les déficits de développement neurologique infantile, et élève mécaniquement le potentiel intellectuel de la population.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En définitive, la synchronisation de ces flux technologiques, monétaires, hydriques et biologiques dote l'État tunisien d'une matrice de résilience absolue. Le pays ne se contente plus de subir les ondes de choc des marchés de capitaux mondiaux, mais génère sa propre valeur à l'intersection de la donnée algorithmique, des métaux stratégiques recyclés et du vivant optimisé.</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Sources des citations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BCT: Évolution du taux de change du dinar - Mosaique FM, https://www.mosaiquefm.net/fr/national-tunisie/1522891/bct-evolution-du-taux-de-change-du-dinar 2. La BCT dément des rumeurs concernant le recul du taux de change, https://www.tap.info.tn/fr/Portail-Economie/20427161-la-bct-d%C3%A9ment 3. USD manual exchange rate — Tunisia Economic Indicator | Markets.tn, https://www.markets.tn/en/economy/indicator/7082 4. Cours de devises de Banque Centrale de Tunisie - Dinar Tunisien, https://www.dinartunisien.com/fr/banque/banque-centrale-tunisie 5. Le dinar tunisien résiste face à l'euro mais recule face au dollar, https://www.webdo.tn/fr/actualite/national/le-dinar-tunisien-resiste-face-a-leuro-mais-recule-face-au-dollar/403349/ 6. Central Bank of Tunisia's foreign exchange reserves during the, https://ideas.repec.org/a/ebl/ecbull/eb-24-00294.html 7. Tunisia: Foreign exchange reserves decline to around 8 billion dollars, https://www.financialafrik.com/en/2026/07/16/tunisia-foreign-exchange-reserves-decline-to-around-8-billion-dollars/ 8. Mobile financial services in Mediterranean Partner Countries, https://www.eib.org/attachments/country/femip_study_mobile_financial_services_en.pdf 9. Tunisia: Weak macroeconomic fundamentals will continue to weigh, https://credendo.com/en/knowledge-hub/tunisia-weak-macroeconomic-fundamentals-will-continue-weigh-near-and-medium-term 10. Loi n° 2016-48 du 11 juillet 2016, relative aux banques et aux, https://www.fgdb.gov.tn/storage/79/Loi-n%C2%B0-2016-48-du-11-juillet-2016.pdf 11. Loi n° 2016-35 du 25 avril 2016, portant fixation du statut de la, https://9anoun.tn/fr/kb/jorts/jort-2016-035-d2971/loi-ndeg-2016-35-du-25-avril-2016-portant-fixation-du-statut-de-la-banque-centrale-de-tunisie-3 12. REGLEMENTATION BANCAIRE, https://ubmonline.org/wp-content/uploads/2017/03/reg_bancaire.pdf 13. Banque centrale de Tunisie - Wikipédia, https://fr.wikipedia.org/wiki/Banque_centrale_de_Tunisie 14. Net foreign exchange reserves (value) — Tunisia Economic Indicator, https://www.markets.tn/en/economy/indicator/7056 15. INVESTOR - OMFIF, https://www.omfif.org/wp-content/uploads/2023/06/GPI-2023.pdf 16. Special Drawing Rights: The Right Tool to Use to Respond to the, https://cepr.net/publications/special-drawing-rights-the-right-tool-to-use-to-respond-to-the-pandemic-and-other-challenges/ 17. Tunisia - International reserves and foreign currency liquidity, https://dsbb.imf.org/sdds/dqaf-base/country/TUN/category/ILV00 18. Tunisian Banks Have Sufficient Liquidity to Help Meet Sovereign, https://www.fitchratings.com/research/banks/tunisian-banks-have-sufficient-liquidity-to-help-meet-sovereign-financing-30-01-2025 19. Tunisia Foreign Exchange Reserves: % of GDP, 2000 – 2026, https://www.ceicdata.com/en/indicator/tunisia/foreign-exchange-reserves--of-gdp 20. Tunisia External Debt, 2009 – 2026 | CEIC Data, https://www.ceicdata.com/en/indicator/tunisia/external-debt 21. A Path Out of Tunisia's Economic Crisis, https://carnegieendowment.org/middle-east/research/2025/02/a-path-out-of-tunisias-economic-crisis 22. The surge in Tunisia foreign debt: causes and possible ways out, https://pmc.ncbi.nlm.nih.gov/articles/PMC9901378/ 23. Tunisia - Debt Justice, https://debtjustice.org.uk/countries/tunisia 24. The impacts of the external debt on economic growth in Tunisia, https://www.journalcra.com/article/impacts-external-debt-economic-growth-tunisia 25. Tunisia | World Bank Group, https://www.worldbank.org/ext/en/country/tunisia 26. Connectivity for continental power - Global Africa Tech, http://globalafricatech.com/fr/homepage-fr/ 27. The AI Landscape, Mapped · Sub-Saharan Africa - Pursuit AI Lab, https://pursuitlab.ai/resources/ai-landscape/ 28. Sovereign Large Language Models: Advantages, Strategy ... - arXiv, https://arxiv.org/html/2503.04745v1 29. Sovereign Large Language Models - arXiv, https://arxiv.org/pdf/2503.04745 30. Gabès Phosphate Fertilizers Plants of the Tunisian Chemical Group, https://ejatlas.org/print/gabes-phosphate-fertilizers-plants-of-the-tunisian-chemical-group 31. Rare earth elements characterization associated to the phosphate, https://inis.iaea.org/records/yzr2a-x6k29 32. Characterization of phosphate rock and phosphogypsum ... - PubMed, https://pubmed.ncbi.nlm.nih.gov/29532384/ 33. Impact of industrial phosphate waste discharge on the marine, https://journals.plos.org/plosone/article?id=10.1371/journal.pone.0197731 34. Rare Earth Elements in Phosphate Ores and Industrial By-Products, https://www.mdpi.com/2075-163X/15/12/1232 35. Characterization and Leaching Kinetics of Rare Earth Elements from, https://www.mdpi.com/2075-163X/12/6/703 36. A Critical Review of the Enhanced Recovery of Rare Earth Elements, https://pmc.ncbi.nlm.nih.gov/articles/PMC10488757/ 37. Phosphogypsum Processing for Rare Earths Recovery—A Review, https://www.scirp.org/journal/paperinformation?paperid=94961 38. From Grave to Cradle: Treatment, Resource Recycling, and, https://pubs.acs.org/doi/abs/10.1021/acs.estlett.4c00530 39. Predicting Sustainable Phosphogypsum Valorization in Tunisia and, https://www.researchgate.net/publication/408215362_Predicting_Sustainable_Phosphogypsum_Valorization_in_Tunisia_and_North_Africa_Based_on_Chinese_Reuse_Trends 40. Renewable Energy Desalination - World Bank Documents, https://documents1.worldbank.org/curated/en/443161468275091537/pdf/730700PUB0EPI001200pub0date09026012.pdf 41. How much energy does desalinisation use? Is it “absurdly cheap”?, https://hannahritchie.substack.com/p/how-much-energy-does-desalinisation/comments 42. Desalination - Dr Rajiv Desai, https://drrajivdesaimd.com/2024/05/07/desalination/ 43. second-party opinion report - pengurusan aset air berhad, https://www.paab.my/wp-content/uploads/2026/04/Pengurusan-Aset-Air-Berhad-Second-Opinion-Report-Final.pdf 44. Reducing the Energy Footprint of the Water Sector - EurEau, https://eureau.org/wp-content/uploads/2020/03/briefing-note-on-reducing-the-energy-footprint-of-water-sector.pdf 45. How to save water with agrivoltaics - Enel Green Power, https://www.enelgreenpower.com/media/news/2023/07/agrivoltaics-water-savings 46. (PDF) Impact of Agrivoltaics irrigation and soil moisture dynamics A, https://www.researchgate.net/publication/396897001_Impact_of_Agrivoltaics_irrigation_and_soil_moisture_dynamics_A_review 47. Water and microclimate management strategies for agrivoltaics in, https://research.kuleuven.be/portal/en/project/3E230899 48. Desert truffle - Innovatione, https://innovatione.eu/en/2021/10/29/desert-truffle/ 49. The Microbiome Structure of the Symbiosis between the Desert, https://www.mdpi.com/2309-608X/8/10/1062 50. Cultivation of an edible desert truffle (TERFEZIA BOUDIERI Chatin), https://www.internationalscholarsjournals.com/abstract/cultivation-of-an-edible-desert-truffle-terfezia-boudieri-chatin-65770.html 51. Mycorrhizal association between the desert truffle Terfezia boudieri, https://cris.bgu.ac.il/en/publications/mycorrhizal-association-between-the-desert-truffle-terfezia-boudi-5/ 52. Cultivation of Desert Truffles—A Crop Suitable for Arid and Semi, https://www.mdpi.com/2073-4395/11/8/1462 53. (PDF) Cultivation of Desert Truffles—A Crop Suitable for Arid and, https://www.researchgate.net/publication/353406050_Cultivation_of_Desert_Truffles-A_Crop_Suitable_for_Arid_and_Semi-Arid_Zones 54. Desert Truffles - Nutritious, https://botit.botany.wisc.edu/toms_fungi/nutritious.html 55. WATER USE AND NUTRITIONAL WATER PRODUCTIVITY OF, https://www.wrc.org.za/wp-content/uploads/mdocs/3223%20final.pdf 56. A Review of Nutritional Water Productivity (NWP) in Agriculture - MDPI, https://www.mdpi.com/2073-4441/15/24/4278 57. Water Use of Crops and Nutritional Water Productivity for Food, https://www.wrc.org.za/wp-content/uploads/mdocs/2493%20Main%20report.pdf 58. Method for extracting rare earth elements from phosphogypsum, https://patents.google.com/patent/CN102639729B/en 59. Indépendance de la BCT : Risques et conséquences du, https://www.ilboursa.com/marches/independance-de-la-bct-risques-et-consequences-du-financement-direct-de-l-etat_42542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