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38"/>
          <w:szCs w:val="38"/>
        </w:rPr>
        <w:t xml:space="preserve">Applied Microeconomics — Week 4</w:t>
      </w:r>
    </w:p>
    <w:p>
      <w:pPr>
        <w:pBdr>
          <w:bottom w:val="single" w:color="1F3864" w:sz="12" w:space="6"/>
        </w:pBdr>
        <w:spacing w:after="200"/>
      </w:pPr>
      <w:r>
        <w:rPr>
          <w:color w:val="595959"/>
          <w:sz w:val="24"/>
          <w:szCs w:val="24"/>
        </w:rPr>
        <w:t xml:space="preserve">Redistribution and social security</w:t>
      </w:r>
    </w:p>
    <w:p>
      <w:pPr>
        <w:spacing w:after="180" w:line="276"/>
      </w:pPr>
      <w:r>
        <w:rPr>
          <w:color w:val="7A8A86"/>
          <w:sz w:val="19"/>
          <w:szCs w:val="19"/>
        </w:rPr>
        <w:t xml:space="preserve">_Summary of Lecture 4 (Delfgaauw), Public Economics. Slide numbers in brackets. Figures redrawn; the numerical example uses the lecture's own numbers (w = 15, T = 720, G = 450, t = 0.1)._</w:t>
      </w:r>
    </w:p>
    <w:p>
      <w:pPr>
        <w:pStyle w:val="Heading1"/>
        <w:keepNext/>
        <w:spacing w:after="140" w:before="380"/>
      </w:pPr>
      <w:r>
        <w:rPr>
          <w:b/>
          <w:bCs/>
          <w:color w:val="1F3864"/>
          <w:sz w:val="30"/>
          <w:szCs w:val="30"/>
        </w:rPr>
        <w:t xml:space="preserve">The shape of the lecture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rPr>
          <w:tblHeader/>
        </w:trPr>
        <w:tc>
          <w:tcPr>
            <w:tcW w:type="dxa" w:w="1100"/>
            <w:shd w:fill="DEEAF6" w:color="auto" w:val="clear"/>
            <w:tcMar>
              <w:top w:type="dxa" w:w="60"/>
              <w:left w:type="dxa" w:w="100"/>
              <w:bottom w:type="dxa" w:w="60"/>
              <w:right w:type="dxa" w:w="100"/>
            </w:tcMar>
          </w:tcPr>
          <w:p>
            <w:pPr>
              <w:spacing w:after="0"/>
            </w:pPr>
            <w:r>
              <w:rPr>
                <w:b/>
                <w:bCs/>
                <w:sz w:val="19"/>
                <w:szCs w:val="19"/>
              </w:rPr>
              <w:t xml:space="preserve">Part</w:t>
            </w:r>
          </w:p>
        </w:tc>
        <w:tc>
          <w:tcPr>
            <w:tcW w:type="dxa" w:w="8538"/>
            <w:shd w:fill="DEEAF6" w:color="auto" w:val="clear"/>
            <w:tcMar>
              <w:top w:type="dxa" w:w="60"/>
              <w:left w:type="dxa" w:w="100"/>
              <w:bottom w:type="dxa" w:w="60"/>
              <w:right w:type="dxa" w:w="100"/>
            </w:tcMar>
          </w:tcPr>
          <w:p>
            <w:pPr>
              <w:spacing w:after="0"/>
            </w:pPr>
            <w:r>
              <w:rPr>
                <w:b/>
                <w:bCs/>
                <w:sz w:val="19"/>
                <w:szCs w:val="19"/>
              </w:rPr>
              <w:t xml:space="preserve">Question it answers</w:t>
            </w:r>
          </w:p>
        </w:tc>
      </w:tr>
      <w:tr>
        <w:trPr>
          <w:tblHeader w:val="false"/>
        </w:trPr>
        <w:tc>
          <w:tcPr>
            <w:tcW w:type="dxa" w:w="1100"/>
            <w:tcMar>
              <w:top w:type="dxa" w:w="60"/>
              <w:left w:type="dxa" w:w="100"/>
              <w:bottom w:type="dxa" w:w="60"/>
              <w:right w:type="dxa" w:w="100"/>
            </w:tcMar>
          </w:tcPr>
          <w:p>
            <w:pPr>
              <w:spacing w:after="0"/>
            </w:pPr>
            <w:r>
              <w:rPr>
                <w:b/>
                <w:bCs/>
                <w:sz w:val="19"/>
                <w:szCs w:val="19"/>
              </w:rPr>
              <w:t xml:space="preserve">1. Facts</w:t>
            </w:r>
          </w:p>
        </w:tc>
        <w:tc>
          <w:tcPr>
            <w:tcW w:type="dxa" w:w="8538"/>
            <w:tcMar>
              <w:top w:type="dxa" w:w="60"/>
              <w:left w:type="dxa" w:w="100"/>
              <w:bottom w:type="dxa" w:w="60"/>
              <w:right w:type="dxa" w:w="100"/>
            </w:tcMar>
          </w:tcPr>
          <w:p>
            <w:pPr>
              <w:spacing w:after="0"/>
            </w:pPr>
            <w:r>
              <w:rPr>
                <w:b w:val="false"/>
                <w:bCs w:val="false"/>
                <w:sz w:val="19"/>
                <w:szCs w:val="19"/>
              </w:rPr>
              <w:t xml:space="preserve">How unequal is the world, and how much do governments redistribute?</w:t>
            </w:r>
          </w:p>
        </w:tc>
      </w:tr>
      <w:tr>
        <w:trPr>
          <w:tblHeader w:val="false"/>
        </w:trPr>
        <w:tc>
          <w:tcPr>
            <w:tcW w:type="dxa" w:w="1100"/>
            <w:tcMar>
              <w:top w:type="dxa" w:w="60"/>
              <w:left w:type="dxa" w:w="100"/>
              <w:bottom w:type="dxa" w:w="60"/>
              <w:right w:type="dxa" w:w="100"/>
            </w:tcMar>
          </w:tcPr>
          <w:p>
            <w:pPr>
              <w:spacing w:after="0"/>
            </w:pPr>
            <w:r>
              <w:rPr>
                <w:b/>
                <w:bCs/>
                <w:sz w:val="19"/>
                <w:szCs w:val="19"/>
              </w:rPr>
              <w:t xml:space="preserve">2. Why redistribute?</w:t>
            </w:r>
          </w:p>
        </w:tc>
        <w:tc>
          <w:tcPr>
            <w:tcW w:type="dxa" w:w="8538"/>
            <w:tcMar>
              <w:top w:type="dxa" w:w="60"/>
              <w:left w:type="dxa" w:w="100"/>
              <w:bottom w:type="dxa" w:w="60"/>
              <w:right w:type="dxa" w:w="100"/>
            </w:tcMar>
          </w:tcPr>
          <w:p>
            <w:pPr>
              <w:spacing w:after="0"/>
            </w:pPr>
            <w:r>
              <w:rPr>
                <w:b w:val="false"/>
                <w:bCs w:val="false"/>
                <w:sz w:val="19"/>
                <w:szCs w:val="19"/>
              </w:rPr>
              <w:t xml:space="preserve">The normative case: social welfare functions</w:t>
            </w:r>
          </w:p>
        </w:tc>
      </w:tr>
      <w:tr>
        <w:trPr>
          <w:tblHeader w:val="false"/>
        </w:trPr>
        <w:tc>
          <w:tcPr>
            <w:tcW w:type="dxa" w:w="1100"/>
            <w:tcMar>
              <w:top w:type="dxa" w:w="60"/>
              <w:left w:type="dxa" w:w="100"/>
              <w:bottom w:type="dxa" w:w="60"/>
              <w:right w:type="dxa" w:w="100"/>
            </w:tcMar>
          </w:tcPr>
          <w:p>
            <w:pPr>
              <w:spacing w:after="0"/>
            </w:pPr>
            <w:r>
              <w:rPr>
                <w:b/>
                <w:bCs/>
                <w:sz w:val="19"/>
                <w:szCs w:val="19"/>
              </w:rPr>
              <w:t xml:space="preserve">3. Why government?</w:t>
            </w:r>
          </w:p>
        </w:tc>
        <w:tc>
          <w:tcPr>
            <w:tcW w:type="dxa" w:w="8538"/>
            <w:tcMar>
              <w:top w:type="dxa" w:w="60"/>
              <w:left w:type="dxa" w:w="100"/>
              <w:bottom w:type="dxa" w:w="60"/>
              <w:right w:type="dxa" w:w="100"/>
            </w:tcMar>
          </w:tcPr>
          <w:p>
            <w:pPr>
              <w:spacing w:after="0"/>
            </w:pPr>
            <w:r>
              <w:rPr>
                <w:b w:val="false"/>
                <w:bCs w:val="false"/>
                <w:sz w:val="19"/>
                <w:szCs w:val="19"/>
              </w:rPr>
              <w:t xml:space="preserve">Market failure in the 'market for redistribution'</w:t>
            </w:r>
          </w:p>
        </w:tc>
      </w:tr>
      <w:tr>
        <w:trPr>
          <w:tblHeader w:val="false"/>
        </w:trPr>
        <w:tc>
          <w:tcPr>
            <w:tcW w:type="dxa" w:w="1100"/>
            <w:tcMar>
              <w:top w:type="dxa" w:w="60"/>
              <w:left w:type="dxa" w:w="100"/>
              <w:bottom w:type="dxa" w:w="60"/>
              <w:right w:type="dxa" w:w="100"/>
            </w:tcMar>
          </w:tcPr>
          <w:p>
            <w:pPr>
              <w:spacing w:after="0"/>
            </w:pPr>
            <w:r>
              <w:rPr>
                <w:b/>
                <w:bCs/>
                <w:sz w:val="19"/>
                <w:szCs w:val="19"/>
              </w:rPr>
              <w:t xml:space="preserve">4. Efficiency effects</w:t>
            </w:r>
          </w:p>
        </w:tc>
        <w:tc>
          <w:tcPr>
            <w:tcW w:type="dxa" w:w="8538"/>
            <w:tcMar>
              <w:top w:type="dxa" w:w="60"/>
              <w:left w:type="dxa" w:w="100"/>
              <w:bottom w:type="dxa" w:w="60"/>
              <w:right w:type="dxa" w:w="100"/>
            </w:tcMar>
          </w:tcPr>
          <w:p>
            <w:pPr>
              <w:spacing w:after="0"/>
            </w:pPr>
            <w:r>
              <w:rPr>
                <w:b w:val="false"/>
                <w:bCs w:val="false"/>
                <w:sz w:val="19"/>
                <w:szCs w:val="19"/>
              </w:rPr>
              <w:t xml:space="preserve">What redistribution costs, and why (the exam core)</w:t>
            </w:r>
          </w:p>
        </w:tc>
      </w:tr>
    </w:tbl>
    <w:p>
      <w:pPr>
        <w:spacing w:after="160" w:line="276"/>
      </w:pPr>
    </w:p>
    <w:p>
      <w:pPr>
        <w:pStyle w:val="Heading1"/>
        <w:keepNext/>
        <w:spacing w:after="140" w:before="380"/>
      </w:pPr>
      <w:r>
        <w:rPr>
          <w:b/>
          <w:bCs/>
          <w:color w:val="1F3864"/>
          <w:sz w:val="30"/>
          <w:szCs w:val="30"/>
        </w:rPr>
        <w:t xml:space="preserve">1. Facts and figures</w:t>
      </w:r>
    </w:p>
    <w:p>
      <w:pPr>
        <w:pStyle w:val="ListParagraph"/>
        <w:numPr>
          <w:ilvl w:val="0"/>
          <w:numId w:val="2"/>
        </w:numPr>
        <w:spacing w:after="70" w:line="276"/>
      </w:pPr>
      <w:r>
        <w:rPr>
          <w:b/>
          <w:bCs/>
        </w:rPr>
        <w:t xml:space="preserve">Extreme poverty has collapsed globally</w:t>
      </w:r>
      <w:r>
        <w:t xml:space="preserve"> over 200 years, and this is not only about money: life expectancy, infant mortality, literacy and child labour all improved dramatically.</w:t>
      </w:r>
    </w:p>
    <w:p>
      <w:pPr>
        <w:pStyle w:val="ListParagraph"/>
        <w:numPr>
          <w:ilvl w:val="0"/>
          <w:numId w:val="2"/>
        </w:numPr>
        <w:spacing w:after="70" w:line="276"/>
      </w:pPr>
      <w:r>
        <w:rPr>
          <w:b/>
          <w:bCs/>
        </w:rPr>
        <w:t xml:space="preserve">Global income inequality is declining but still huge</w:t>
      </w:r>
      <w:r>
        <w:t xml:space="preserve">; the </w:t>
      </w:r>
      <w:r>
        <w:rPr>
          <w:b/>
          <w:bCs/>
        </w:rPr>
        <w:t xml:space="preserve">wealth</w:t>
      </w:r>
      <w:r>
        <w:t xml:space="preserve"> distribution is even more unequal, with a growing share for the top 0.1%.</w:t>
      </w:r>
    </w:p>
    <w:p>
      <w:pPr>
        <w:pStyle w:val="ListParagraph"/>
        <w:numPr>
          <w:ilvl w:val="0"/>
          <w:numId w:val="2"/>
        </w:numPr>
        <w:spacing w:after="70" w:line="276"/>
      </w:pPr>
      <w:r>
        <w:rPr>
          <w:b/>
          <w:bCs/>
        </w:rPr>
        <w:t xml:space="preserve">Measurement is hard</w:t>
      </w:r>
      <w:r>
        <w:t xml:space="preserve"> [10]: individuals or households? before or after taxes and benefits? in-kind benefits are often missed ('profijt van de overheid'), and wealth data are less reliable than income data.</w:t>
      </w:r>
    </w:p>
    <w:p>
      <w:pPr>
        <w:pStyle w:val="ListParagraph"/>
        <w:numPr>
          <w:ilvl w:val="0"/>
          <w:numId w:val="2"/>
        </w:numPr>
        <w:spacing w:after="70" w:line="276"/>
      </w:pPr>
      <w:r>
        <w:rPr>
          <w:b/>
          <w:bCs/>
        </w:rPr>
        <w:t xml:space="preserve">Netherlands over time</w:t>
      </w:r>
      <w:r>
        <w:t xml:space="preserve"> [14]: social security spending was 11.6% of GDP in 1963, 20% in 1983, 10.7% in 2000, 12% in 2023. The old-age dependency ratio rose from 0.24 in 2000 to 0.35 in 2020. Drivers are volume (number of programs, eligibility) and price (indexation).</w:t>
      </w:r>
    </w:p>
    <w:p>
      <w:pPr>
        <w:pStyle w:val="Heading1"/>
        <w:keepNext/>
        <w:spacing w:after="140" w:before="380"/>
      </w:pPr>
      <w:r>
        <w:rPr>
          <w:b/>
          <w:bCs/>
          <w:color w:val="1F3864"/>
          <w:sz w:val="30"/>
          <w:szCs w:val="30"/>
        </w:rPr>
        <w:t xml:space="preserve">2. Why redistribute?</w:t>
      </w:r>
    </w:p>
    <w:p>
      <w:pPr>
        <w:spacing w:after="120" w:line="276"/>
      </w:pPr>
      <w:r>
        <w:t xml:space="preserve">A purely self-interested rich individual would prefer no redistribution. The case is </w:t>
      </w:r>
      <w:r>
        <w:rPr>
          <w:b/>
          <w:bCs/>
        </w:rPr>
        <w:t xml:space="preserve">normative</w:t>
      </w:r>
      <w:r>
        <w:t xml:space="preserve">: society prefers a distribution different from the one the market produces, expressed through a social welfare function W = F(U</w:t>
      </w:r>
      <w:r>
        <w:rPr>
          <w:vertAlign w:val="subscript"/>
        </w:rPr>
        <w:t xml:space="preserve">1</w:t>
      </w:r>
      <w:r>
        <w:t xml:space="preserve">, ..., U</w:t>
      </w:r>
      <w:r>
        <w:rPr>
          <w:vertAlign w:val="subscript"/>
        </w:rPr>
        <w:t xml:space="preserve">n</w:t>
      </w:r>
      <w:r>
        <w:t xml:space="preserve">).</w:t>
      </w:r>
    </w:p>
    <w:p>
      <w:pPr>
        <w:pStyle w:val="Heading2"/>
        <w:keepNext/>
        <w:spacing w:after="80" w:before="300"/>
      </w:pPr>
      <w:r>
        <w:rPr>
          <w:b/>
          <w:bCs/>
          <w:color w:val="0D6D61"/>
          <w:sz w:val="25"/>
          <w:szCs w:val="25"/>
        </w:rPr>
        <w:t xml:space="preserve">The utilitarian benchmark</w:t>
      </w:r>
      <w:r>
        <w:rPr>
          <w:color w:val="7A8A86"/>
          <w:sz w:val="18"/>
          <w:szCs w:val="18"/>
        </w:rPr>
        <w:t xml:space="preserve">   slides 18–20</w:t>
      </w:r>
    </w:p>
    <w:p>
      <w:pPr>
        <w:spacing w:after="120" w:line="276"/>
      </w:pPr>
      <w:r>
        <w:t xml:space="preserve">Take the additive (Bentham) welfare function and three assumptions:</w:t>
      </w:r>
    </w:p>
    <w:p>
      <w:pPr>
        <w:pStyle w:val="ListParagraph"/>
        <w:numPr>
          <w:ilvl w:val="0"/>
          <w:numId w:val="2"/>
        </w:numPr>
        <w:spacing w:after="70" w:line="276"/>
      </w:pPr>
      <w:r>
        <w:t xml:space="preserve">W = U</w:t>
      </w:r>
      <w:r>
        <w:rPr>
          <w:vertAlign w:val="subscript"/>
        </w:rPr>
        <w:t xml:space="preserve">1</w:t>
      </w:r>
      <w:r>
        <w:t xml:space="preserve"> + U</w:t>
      </w:r>
      <w:r>
        <w:rPr>
          <w:vertAlign w:val="subscript"/>
        </w:rPr>
        <w:t xml:space="preserve">2</w:t>
      </w:r>
      <w:r>
        <w:t xml:space="preserve"> + ... + U</w:t>
      </w:r>
      <w:r>
        <w:rPr>
          <w:vertAlign w:val="subscript"/>
        </w:rPr>
        <w:t xml:space="preserve">n</w:t>
      </w:r>
    </w:p>
    <w:p>
      <w:pPr>
        <w:pStyle w:val="ListParagraph"/>
        <w:numPr>
          <w:ilvl w:val="0"/>
          <w:numId w:val="2"/>
        </w:numPr>
        <w:spacing w:after="70" w:line="276"/>
      </w:pPr>
      <w:r>
        <w:t xml:space="preserve">utility depends only on income</w:t>
      </w:r>
    </w:p>
    <w:p>
      <w:pPr>
        <w:pStyle w:val="ListParagraph"/>
        <w:numPr>
          <w:ilvl w:val="0"/>
          <w:numId w:val="2"/>
        </w:numPr>
        <w:spacing w:after="70" w:line="276"/>
      </w:pPr>
      <w:r>
        <w:t xml:space="preserve">diminishing marginal utility of income: U' &gt; 0 and U'' &lt; 0</w:t>
      </w:r>
    </w:p>
    <w:p>
      <w:pPr>
        <w:pStyle w:val="ListParagraph"/>
        <w:numPr>
          <w:ilvl w:val="0"/>
          <w:numId w:val="2"/>
        </w:numPr>
        <w:spacing w:after="70" w:line="276"/>
      </w:pPr>
      <w:r>
        <w:t xml:space="preserve">total income is fixed</w:t>
      </w:r>
    </w:p>
    <w:p>
      <w:pPr>
        <w:spacing w:after="120" w:line="276"/>
      </w:pPr>
      <w:r>
        <w:t xml:space="preserve">Maximising W subject to a fixed total income gives the condition:</w:t>
      </w:r>
    </w:p>
    <w:p>
      <w:pPr>
        <w:pBdr>
          <w:left w:val="single" w:color="0D6D61" w:sz="12" w:space="8"/>
        </w:pBdr>
        <w:shd w:fill="EEF3F2" w:color="auto" w:val="clear"/>
        <w:spacing w:after="140" w:before="100" w:line="300"/>
        <w:ind w:left="340"/>
      </w:pPr>
      <w:r>
        <w:rPr>
          <w:rFonts w:ascii="Cambria Math" w:cs="Cambria Math" w:eastAsia="Cambria Math" w:hAnsi="Cambria Math"/>
          <w:sz w:val="22"/>
          <w:szCs w:val="22"/>
        </w:rPr>
        <w:t xml:space="preserve">MU</w:t>
      </w:r>
      <w:r>
        <w:rPr>
          <w:rFonts w:ascii="Cambria Math" w:cs="Cambria Math" w:eastAsia="Cambria Math" w:hAnsi="Cambria Math"/>
          <w:sz w:val="22"/>
          <w:szCs w:val="22"/>
          <w:vertAlign w:val="subscript"/>
        </w:rPr>
        <w:t xml:space="preserve">1</w:t>
      </w:r>
      <w:r>
        <w:rPr>
          <w:rFonts w:ascii="Cambria Math" w:cs="Cambria Math" w:eastAsia="Cambria Math" w:hAnsi="Cambria Math"/>
          <w:sz w:val="22"/>
          <w:szCs w:val="22"/>
        </w:rPr>
        <w:t xml:space="preserve">(I</w:t>
      </w:r>
      <w:r>
        <w:rPr>
          <w:rFonts w:ascii="Cambria Math" w:cs="Cambria Math" w:eastAsia="Cambria Math" w:hAnsi="Cambria Math"/>
          <w:sz w:val="22"/>
          <w:szCs w:val="22"/>
          <w:vertAlign w:val="subscript"/>
        </w:rPr>
        <w:t xml:space="preserve">1</w:t>
      </w:r>
      <w:r>
        <w:rPr>
          <w:rFonts w:ascii="Cambria Math" w:cs="Cambria Math" w:eastAsia="Cambria Math" w:hAnsi="Cambria Math"/>
          <w:sz w:val="22"/>
          <w:szCs w:val="22"/>
        </w:rPr>
        <w:t xml:space="preserve">) = MU</w:t>
      </w:r>
      <w:r>
        <w:rPr>
          <w:rFonts w:ascii="Cambria Math" w:cs="Cambria Math" w:eastAsia="Cambria Math" w:hAnsi="Cambria Math"/>
          <w:sz w:val="22"/>
          <w:szCs w:val="22"/>
          <w:vertAlign w:val="subscript"/>
        </w:rPr>
        <w:t xml:space="preserve">2</w:t>
      </w:r>
      <w:r>
        <w:rPr>
          <w:rFonts w:ascii="Cambria Math" w:cs="Cambria Math" w:eastAsia="Cambria Math" w:hAnsi="Cambria Math"/>
          <w:sz w:val="22"/>
          <w:szCs w:val="22"/>
        </w:rPr>
        <w:t xml:space="preserve">(I</w:t>
      </w:r>
      <w:r>
        <w:rPr>
          <w:rFonts w:ascii="Cambria Math" w:cs="Cambria Math" w:eastAsia="Cambria Math" w:hAnsi="Cambria Math"/>
          <w:sz w:val="22"/>
          <w:szCs w:val="22"/>
          <w:vertAlign w:val="subscript"/>
        </w:rPr>
        <w:t xml:space="preserve">2</w:t>
      </w:r>
      <w:r>
        <w:rPr>
          <w:rFonts w:ascii="Cambria Math" w:cs="Cambria Math" w:eastAsia="Cambria Math" w:hAnsi="Cambria Math"/>
          <w:sz w:val="22"/>
          <w:szCs w:val="22"/>
        </w:rPr>
        <w:t xml:space="preserve">) = ... = MU</w:t>
      </w:r>
      <w:r>
        <w:rPr>
          <w:rFonts w:ascii="Cambria Math" w:cs="Cambria Math" w:eastAsia="Cambria Math" w:hAnsi="Cambria Math"/>
          <w:sz w:val="22"/>
          <w:szCs w:val="22"/>
          <w:vertAlign w:val="subscript"/>
        </w:rPr>
        <w:t xml:space="preserve">n</w:t>
      </w:r>
      <w:r>
        <w:rPr>
          <w:rFonts w:ascii="Cambria Math" w:cs="Cambria Math" w:eastAsia="Cambria Math" w:hAnsi="Cambria Math"/>
          <w:sz w:val="22"/>
          <w:szCs w:val="22"/>
        </w:rPr>
        <w:t xml:space="preserve">(I</w:t>
      </w:r>
      <w:r>
        <w:rPr>
          <w:rFonts w:ascii="Cambria Math" w:cs="Cambria Math" w:eastAsia="Cambria Math" w:hAnsi="Cambria Math"/>
          <w:sz w:val="22"/>
          <w:szCs w:val="22"/>
          <w:vertAlign w:val="subscript"/>
        </w:rPr>
        <w:t xml:space="preserve">n</w:t>
      </w:r>
      <w:r>
        <w:rPr>
          <w:rFonts w:ascii="Cambria Math" w:cs="Cambria Math" w:eastAsia="Cambria Math" w:hAnsi="Cambria Math"/>
          <w:sz w:val="22"/>
          <w:szCs w:val="22"/>
        </w:rPr>
        <w:t xml:space="preserve">)</w:t>
      </w:r>
    </w:p>
    <w:p>
      <w:pPr>
        <w:spacing w:after="120" w:line="276"/>
      </w:pPr>
      <w:r>
        <w:t xml:space="preserve">The Peter and Paul diagram [19] shows why: if Paul's marginal utility exceeds Peter's, moving a euro from Peter to Paul raises total welfare, because Paul gains more than Peter loses. Keep going until the marginal utilities are equal.</w:t>
      </w:r>
    </w:p>
    <w:p>
      <w:pPr>
        <w:pBdr>
          <w:left w:val="single" w:color="B4560F" w:sz="16" w:space="8"/>
        </w:pBdr>
        <w:shd w:fill="FBF0E5" w:color="auto" w:val="clear"/>
        <w:spacing w:after="180" w:before="140" w:line="276"/>
        <w:ind w:left="340"/>
      </w:pPr>
      <w:r>
        <w:rPr>
          <w:color w:val="6B3A10"/>
          <w:sz w:val="20"/>
          <w:szCs w:val="20"/>
        </w:rPr>
        <w:t xml:space="preserve">Equal marginal utilities implies complete equality ONLY IF you add the assumption that everyone has the same utility function. That extra assumption is doing all the work, and it is the one most open to challenge.</w:t>
      </w:r>
    </w:p>
    <w:p>
      <w:pPr>
        <w:pStyle w:val="Heading2"/>
        <w:keepNext/>
        <w:spacing w:after="80" w:before="300"/>
      </w:pPr>
      <w:r>
        <w:rPr>
          <w:b/>
          <w:bCs/>
          <w:color w:val="0D6D61"/>
          <w:sz w:val="25"/>
          <w:szCs w:val="25"/>
        </w:rPr>
        <w:t xml:space="preserve">Other theories of justice</w:t>
      </w:r>
      <w:r>
        <w:rPr>
          <w:color w:val="7A8A86"/>
          <w:sz w:val="18"/>
          <w:szCs w:val="18"/>
        </w:rPr>
        <w:t xml:space="preserve">   slide 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shd w:fill="DEEAF6" w:color="auto" w:val="clear"/>
            <w:tcMar>
              <w:top w:type="dxa" w:w="60"/>
              <w:left w:type="dxa" w:w="100"/>
              <w:bottom w:type="dxa" w:w="60"/>
              <w:right w:type="dxa" w:w="100"/>
            </w:tcMar>
          </w:tcPr>
          <w:p>
            <w:pPr>
              <w:spacing w:after="0"/>
            </w:pPr>
            <w:r>
              <w:rPr>
                <w:b/>
                <w:bCs/>
                <w:sz w:val="19"/>
                <w:szCs w:val="19"/>
              </w:rPr>
              <w:t xml:space="preserve">Theory</w:t>
            </w:r>
          </w:p>
        </w:tc>
        <w:tc>
          <w:tcPr>
            <w:tcW w:type="dxa" w:w="7238"/>
            <w:shd w:fill="DEEAF6" w:color="auto" w:val="clear"/>
            <w:tcMar>
              <w:top w:type="dxa" w:w="60"/>
              <w:left w:type="dxa" w:w="100"/>
              <w:bottom w:type="dxa" w:w="60"/>
              <w:right w:type="dxa" w:w="100"/>
            </w:tcMar>
          </w:tcPr>
          <w:p>
            <w:pPr>
              <w:spacing w:after="0"/>
            </w:pPr>
            <w:r>
              <w:rPr>
                <w:b/>
                <w:bCs/>
                <w:sz w:val="19"/>
                <w:szCs w:val="19"/>
              </w:rPr>
              <w:t xml:space="preserve">What it maximises or requires</w:t>
            </w:r>
          </w:p>
        </w:tc>
      </w:tr>
      <w:tr>
        <w:trPr>
          <w:tblHeader w:val="false"/>
        </w:trPr>
        <w:tc>
          <w:tcPr>
            <w:tcW w:type="dxa" w:w="2400"/>
            <w:tcMar>
              <w:top w:type="dxa" w:w="60"/>
              <w:left w:type="dxa" w:w="100"/>
              <w:bottom w:type="dxa" w:w="60"/>
              <w:right w:type="dxa" w:w="100"/>
            </w:tcMar>
          </w:tcPr>
          <w:p>
            <w:pPr>
              <w:spacing w:after="0"/>
            </w:pPr>
            <w:r>
              <w:rPr>
                <w:b/>
                <w:bCs/>
                <w:sz w:val="19"/>
                <w:szCs w:val="19"/>
              </w:rPr>
              <w:t xml:space="preserve">Utilitarian (Bentham)</w:t>
            </w:r>
          </w:p>
        </w:tc>
        <w:tc>
          <w:tcPr>
            <w:tcW w:type="dxa" w:w="7238"/>
            <w:tcMar>
              <w:top w:type="dxa" w:w="60"/>
              <w:left w:type="dxa" w:w="100"/>
              <w:bottom w:type="dxa" w:w="60"/>
              <w:right w:type="dxa" w:w="100"/>
            </w:tcMar>
          </w:tcPr>
          <w:p>
            <w:pPr>
              <w:spacing w:after="0"/>
            </w:pPr>
            <w:r>
              <w:rPr>
                <w:b w:val="false"/>
                <w:bCs w:val="false"/>
                <w:sz w:val="19"/>
                <w:szCs w:val="19"/>
              </w:rPr>
              <w:t xml:space="preserve">the sum of utilities: W = U1 + ... + Un</w:t>
            </w:r>
          </w:p>
        </w:tc>
      </w:tr>
      <w:tr>
        <w:trPr>
          <w:tblHeader w:val="false"/>
        </w:trPr>
        <w:tc>
          <w:tcPr>
            <w:tcW w:type="dxa" w:w="2400"/>
            <w:tcMar>
              <w:top w:type="dxa" w:w="60"/>
              <w:left w:type="dxa" w:w="100"/>
              <w:bottom w:type="dxa" w:w="60"/>
              <w:right w:type="dxa" w:w="100"/>
            </w:tcMar>
          </w:tcPr>
          <w:p>
            <w:pPr>
              <w:spacing w:after="0"/>
            </w:pPr>
            <w:r>
              <w:rPr>
                <w:b/>
                <w:bCs/>
                <w:sz w:val="19"/>
                <w:szCs w:val="19"/>
              </w:rPr>
              <w:t xml:space="preserve">Rawls</w:t>
            </w:r>
          </w:p>
        </w:tc>
        <w:tc>
          <w:tcPr>
            <w:tcW w:type="dxa" w:w="7238"/>
            <w:tcMar>
              <w:top w:type="dxa" w:w="60"/>
              <w:left w:type="dxa" w:w="100"/>
              <w:bottom w:type="dxa" w:w="60"/>
              <w:right w:type="dxa" w:w="100"/>
            </w:tcMar>
          </w:tcPr>
          <w:p>
            <w:pPr>
              <w:spacing w:after="0"/>
            </w:pPr>
            <w:r>
              <w:rPr>
                <w:b w:val="false"/>
                <w:bCs w:val="false"/>
                <w:sz w:val="19"/>
                <w:szCs w:val="19"/>
              </w:rPr>
              <w:t xml:space="preserve">the worst-off person: W = min(U1, ..., Un), argued from behind a 'veil of ignorance'</w:t>
            </w:r>
          </w:p>
        </w:tc>
      </w:tr>
      <w:tr>
        <w:trPr>
          <w:tblHeader w:val="false"/>
        </w:trPr>
        <w:tc>
          <w:tcPr>
            <w:tcW w:type="dxa" w:w="2400"/>
            <w:tcMar>
              <w:top w:type="dxa" w:w="60"/>
              <w:left w:type="dxa" w:w="100"/>
              <w:bottom w:type="dxa" w:w="60"/>
              <w:right w:type="dxa" w:w="100"/>
            </w:tcMar>
          </w:tcPr>
          <w:p>
            <w:pPr>
              <w:spacing w:after="0"/>
            </w:pPr>
            <w:r>
              <w:rPr>
                <w:b/>
                <w:bCs/>
                <w:sz w:val="19"/>
                <w:szCs w:val="19"/>
              </w:rPr>
              <w:t xml:space="preserve">Egalitarianism</w:t>
            </w:r>
          </w:p>
        </w:tc>
        <w:tc>
          <w:tcPr>
            <w:tcW w:type="dxa" w:w="7238"/>
            <w:tcMar>
              <w:top w:type="dxa" w:w="60"/>
              <w:left w:type="dxa" w:w="100"/>
              <w:bottom w:type="dxa" w:w="60"/>
              <w:right w:type="dxa" w:w="100"/>
            </w:tcMar>
          </w:tcPr>
          <w:p>
            <w:pPr>
              <w:spacing w:after="0"/>
            </w:pPr>
            <w:r>
              <w:rPr>
                <w:b w:val="false"/>
                <w:bCs w:val="false"/>
                <w:sz w:val="19"/>
                <w:szCs w:val="19"/>
              </w:rPr>
              <w:t xml:space="preserve">equality of outcomes</w:t>
            </w:r>
          </w:p>
        </w:tc>
      </w:tr>
      <w:tr>
        <w:trPr>
          <w:tblHeader w:val="false"/>
        </w:trPr>
        <w:tc>
          <w:tcPr>
            <w:tcW w:type="dxa" w:w="2400"/>
            <w:tcMar>
              <w:top w:type="dxa" w:w="60"/>
              <w:left w:type="dxa" w:w="100"/>
              <w:bottom w:type="dxa" w:w="60"/>
              <w:right w:type="dxa" w:w="100"/>
            </w:tcMar>
          </w:tcPr>
          <w:p>
            <w:pPr>
              <w:spacing w:after="0"/>
            </w:pPr>
            <w:r>
              <w:rPr>
                <w:b/>
                <w:bCs/>
                <w:sz w:val="19"/>
                <w:szCs w:val="19"/>
              </w:rPr>
              <w:t xml:space="preserve">Capabilities (Sen)</w:t>
            </w:r>
          </w:p>
        </w:tc>
        <w:tc>
          <w:tcPr>
            <w:tcW w:type="dxa" w:w="7238"/>
            <w:tcMar>
              <w:top w:type="dxa" w:w="60"/>
              <w:left w:type="dxa" w:w="100"/>
              <w:bottom w:type="dxa" w:w="60"/>
              <w:right w:type="dxa" w:w="100"/>
            </w:tcMar>
          </w:tcPr>
          <w:p>
            <w:pPr>
              <w:spacing w:after="0"/>
            </w:pPr>
            <w:r>
              <w:rPr>
                <w:b w:val="false"/>
                <w:bCs w:val="false"/>
                <w:sz w:val="19"/>
                <w:szCs w:val="19"/>
              </w:rPr>
              <w:t xml:space="preserve">what people are actually able to do and be, not just income</w:t>
            </w:r>
          </w:p>
        </w:tc>
      </w:tr>
      <w:tr>
        <w:trPr>
          <w:tblHeader w:val="false"/>
        </w:trPr>
        <w:tc>
          <w:tcPr>
            <w:tcW w:type="dxa" w:w="2400"/>
            <w:tcMar>
              <w:top w:type="dxa" w:w="60"/>
              <w:left w:type="dxa" w:w="100"/>
              <w:bottom w:type="dxa" w:w="60"/>
              <w:right w:type="dxa" w:w="100"/>
            </w:tcMar>
          </w:tcPr>
          <w:p>
            <w:pPr>
              <w:spacing w:after="0"/>
            </w:pPr>
            <w:r>
              <w:rPr>
                <w:b/>
                <w:bCs/>
                <w:sz w:val="19"/>
                <w:szCs w:val="19"/>
              </w:rPr>
              <w:t xml:space="preserve">Libertarianism</w:t>
            </w:r>
          </w:p>
        </w:tc>
        <w:tc>
          <w:tcPr>
            <w:tcW w:type="dxa" w:w="7238"/>
            <w:tcMar>
              <w:top w:type="dxa" w:w="60"/>
              <w:left w:type="dxa" w:w="100"/>
              <w:bottom w:type="dxa" w:w="60"/>
              <w:right w:type="dxa" w:w="100"/>
            </w:tcMar>
          </w:tcPr>
          <w:p>
            <w:pPr>
              <w:spacing w:after="0"/>
            </w:pPr>
            <w:r>
              <w:rPr>
                <w:b w:val="false"/>
                <w:bCs w:val="false"/>
                <w:sz w:val="19"/>
                <w:szCs w:val="19"/>
              </w:rPr>
              <w:t xml:space="preserve">just processes and property rights, not patterns of outcomes</w:t>
            </w:r>
          </w:p>
        </w:tc>
      </w:tr>
    </w:tbl>
    <w:p>
      <w:pPr>
        <w:spacing w:after="140" w:line="276"/>
      </w:pPr>
    </w:p>
    <w:p>
      <w:pPr>
        <w:spacing w:after="120" w:line="276"/>
      </w:pPr>
      <w:r>
        <w:rPr>
          <w:b/>
          <w:bCs/>
        </w:rPr>
        <w:t xml:space="preserve">Complications</w:t>
      </w:r>
      <w:r>
        <w:t xml:space="preserve"> [22]: what if people differ in their preferences, for example between income and leisure? And should we compensate differences in outcomes that come from effort, from innate ability, from birthplace, or from inherited wealth? Bad luck is the easy case; the rest are contested.</w:t>
      </w:r>
    </w:p>
    <w:p>
      <w:pPr>
        <w:pStyle w:val="Heading1"/>
        <w:keepNext/>
        <w:spacing w:after="140" w:before="380"/>
      </w:pPr>
      <w:r>
        <w:rPr>
          <w:b/>
          <w:bCs/>
          <w:color w:val="1F3864"/>
          <w:sz w:val="30"/>
          <w:szCs w:val="30"/>
        </w:rPr>
        <w:t xml:space="preserve">3. Why does the government do it?</w:t>
      </w:r>
    </w:p>
    <w:p>
      <w:pPr>
        <w:spacing w:after="120" w:line="276"/>
      </w:pPr>
      <w:r>
        <w:t xml:space="preserve">Private redistribution does exist — charities, religious communities, families — motivated by </w:t>
      </w:r>
      <w:r>
        <w:rPr>
          <w:b/>
          <w:bCs/>
        </w:rPr>
        <w:t xml:space="preserve">altruism</w:t>
      </w:r>
      <w:r>
        <w:t xml:space="preserve">: U</w:t>
      </w:r>
      <w:r>
        <w:rPr>
          <w:vertAlign w:val="subscript"/>
        </w:rPr>
        <w:t xml:space="preserve">1</w:t>
      </w:r>
      <w:r>
        <w:t xml:space="preserve"> = F[I</w:t>
      </w:r>
      <w:r>
        <w:rPr>
          <w:vertAlign w:val="subscript"/>
        </w:rPr>
        <w:t xml:space="preserve">1</w:t>
      </w:r>
      <w:r>
        <w:t xml:space="preserve">, U</w:t>
      </w:r>
      <w:r>
        <w:rPr>
          <w:vertAlign w:val="subscript"/>
        </w:rPr>
        <w:t xml:space="preserve">2</w:t>
      </w:r>
      <w:r>
        <w:t xml:space="preserve">(I</w:t>
      </w:r>
      <w:r>
        <w:rPr>
          <w:vertAlign w:val="subscript"/>
        </w:rPr>
        <w:t xml:space="preserve">2</w:t>
      </w:r>
      <w:r>
        <w:t xml:space="preserve">)]. If I care about your utility, transferring to you can be a </w:t>
      </w:r>
      <w:r>
        <w:rPr>
          <w:b/>
          <w:bCs/>
        </w:rPr>
        <w:t xml:space="preserve">Pareto improvement</w:t>
      </w:r>
      <w:r>
        <w:t xml:space="preserve">. So why is most redistribution public? Apply the market-failure framework from earlier weeks.</w:t>
      </w:r>
    </w:p>
    <w:p>
      <w:pPr>
        <w:pStyle w:val="ListParagraph"/>
        <w:numPr>
          <w:ilvl w:val="0"/>
          <w:numId w:val="2"/>
        </w:numPr>
        <w:spacing w:after="70" w:line="276"/>
      </w:pPr>
      <w:r>
        <w:rPr>
          <w:b/>
          <w:bCs/>
        </w:rPr>
        <w:t xml:space="preserve">The welfare state is a public good.</w:t>
      </w:r>
      <w:r>
        <w:t xml:space="preserve"> The rich also benefit from less poverty, but each one prefers to free-ride on others' donations, so private giving is under-provided. Government can enforce contributions.</w:t>
      </w:r>
    </w:p>
    <w:p>
      <w:pPr>
        <w:pStyle w:val="ListParagraph"/>
        <w:numPr>
          <w:ilvl w:val="0"/>
          <w:numId w:val="2"/>
        </w:numPr>
        <w:spacing w:after="70" w:line="276"/>
      </w:pPr>
      <w:r>
        <w:rPr>
          <w:b/>
          <w:bCs/>
        </w:rPr>
        <w:t xml:space="preserve">Scale effects</w:t>
      </w:r>
      <w:r>
        <w:t xml:space="preserve">: defining who is poor, and administering transfers, is cheaper once.</w:t>
      </w:r>
    </w:p>
    <w:p>
      <w:pPr>
        <w:pStyle w:val="ListParagraph"/>
        <w:numPr>
          <w:ilvl w:val="0"/>
          <w:numId w:val="2"/>
        </w:numPr>
        <w:spacing w:after="70" w:line="276"/>
      </w:pPr>
      <w:r>
        <w:rPr>
          <w:b/>
          <w:bCs/>
        </w:rPr>
        <w:t xml:space="preserve">Externalities of poverty</w:t>
      </w:r>
      <w:r>
        <w:t xml:space="preserve">: effects on the well-being of others and spill-over effects such as crime.</w:t>
      </w:r>
    </w:p>
    <w:p>
      <w:pPr>
        <w:pStyle w:val="ListParagraph"/>
        <w:numPr>
          <w:ilvl w:val="0"/>
          <w:numId w:val="2"/>
        </w:numPr>
        <w:spacing w:after="70" w:line="276"/>
      </w:pPr>
      <w:r>
        <w:rPr>
          <w:b/>
          <w:bCs/>
        </w:rPr>
        <w:t xml:space="preserve">Incomplete information</w:t>
      </w:r>
      <w:r>
        <w:t xml:space="preserve">: people may be too optimistic about their own risk of becoming poor.</w:t>
      </w:r>
    </w:p>
    <w:p>
      <w:pPr>
        <w:pStyle w:val="ListParagraph"/>
        <w:numPr>
          <w:ilvl w:val="0"/>
          <w:numId w:val="2"/>
        </w:numPr>
        <w:spacing w:after="70" w:line="276"/>
      </w:pPr>
      <w:r>
        <w:rPr>
          <w:b/>
          <w:bCs/>
        </w:rPr>
        <w:t xml:space="preserve">Paternalism.</w:t>
      </w:r>
    </w:p>
    <w:p>
      <w:pPr>
        <w:pStyle w:val="ListParagraph"/>
        <w:numPr>
          <w:ilvl w:val="0"/>
          <w:numId w:val="2"/>
        </w:numPr>
        <w:spacing w:after="70" w:line="276"/>
      </w:pPr>
      <w:r>
        <w:rPr>
          <w:b/>
          <w:bCs/>
        </w:rPr>
        <w:t xml:space="preserve">Redistribution as poverty insurance</w:t>
      </w:r>
      <w:r>
        <w:t xml:space="preserve">: private poverty insurance fails because of asymmetric information — severe moral hazard and adverse selection. Government can impose fines for fraud, job-search requirements, and mandatory participation.</w:t>
      </w:r>
    </w:p>
    <w:p>
      <w:pPr>
        <w:pBdr>
          <w:left w:val="single" w:color="B4560F" w:sz="16" w:space="8"/>
        </w:pBdr>
        <w:shd w:fill="FBF0E5" w:color="auto" w:val="clear"/>
        <w:spacing w:after="180" w:before="140" w:line="276"/>
        <w:ind w:left="340"/>
      </w:pPr>
      <w:r>
        <w:rPr>
          <w:color w:val="6B3A10"/>
          <w:sz w:val="20"/>
          <w:szCs w:val="20"/>
        </w:rPr>
        <w:t xml:space="preserve">But: government failure is real too. The mechanisms that fix market failure bring their own distortions, which is the subject of the rest of the lecture.</w:t>
      </w:r>
    </w:p>
    <w:p>
      <w:pPr>
        <w:pStyle w:val="Heading1"/>
        <w:keepNext/>
        <w:spacing w:after="140" w:before="380"/>
      </w:pPr>
      <w:r>
        <w:rPr>
          <w:b/>
          <w:bCs/>
          <w:color w:val="1F3864"/>
          <w:sz w:val="30"/>
          <w:szCs w:val="30"/>
        </w:rPr>
        <w:t xml:space="preserve">4. Efficiency effects</w:t>
      </w:r>
    </w:p>
    <w:p>
      <w:pPr>
        <w:spacing w:after="120" w:line="276"/>
      </w:pPr>
      <w:r>
        <w:rPr>
          <w:b/>
          <w:bCs/>
        </w:rPr>
        <w:t xml:space="preserve">If the second fundamental theorem held</w:t>
      </w:r>
      <w:r>
        <w:t xml:space="preserve">, we could separate efficiency from redistribution: fix the distribution with lump-sum transfers, then let markets do their work. </w:t>
      </w:r>
      <w:r>
        <w:rPr>
          <w:b/>
          <w:bCs/>
        </w:rPr>
        <w:t xml:space="preserve">In practice redistribution changes behaviour</w:t>
      </w:r>
      <w:r>
        <w:t xml:space="preserve">, so the separation breaks down. The lecture lists four issues.</w:t>
      </w:r>
    </w:p>
    <w:p>
      <w:pPr>
        <w:pStyle w:val="Heading2"/>
        <w:keepNext/>
        <w:spacing w:after="80" w:before="300"/>
      </w:pPr>
      <w:r>
        <w:rPr>
          <w:b/>
          <w:bCs/>
          <w:color w:val="0D6D61"/>
          <w:sz w:val="25"/>
          <w:szCs w:val="25"/>
        </w:rPr>
        <w:t xml:space="preserve">(1) Cash versus in-kind</w:t>
      </w:r>
      <w:r>
        <w:rPr>
          <w:color w:val="7A8A86"/>
          <w:sz w:val="18"/>
          <w:szCs w:val="18"/>
        </w:rPr>
        <w:t xml:space="preserve">   slide 28</w:t>
      </w:r>
    </w:p>
    <w:p>
      <w:pPr>
        <w:spacing w:after="120" w:line="276"/>
      </w:pPr>
      <w:r>
        <w:t xml:space="preserve">The poor sometimes receive goods rather than cash. In-kind transfers are generally </w:t>
      </w:r>
      <w:r>
        <w:rPr>
          <w:b/>
          <w:bCs/>
        </w:rPr>
        <w:t xml:space="preserve">less efficient</w:t>
      </w:r>
      <w:r>
        <w:t xml:space="preserve">, because the recipient could have reached higher utility by spending the same money how they chose (Figures 12.3 and 12.4 in the book). The main motivation is </w:t>
      </w:r>
      <w:r>
        <w:rPr>
          <w:b/>
          <w:bCs/>
        </w:rPr>
        <w:t xml:space="preserve">paternalism</w:t>
      </w:r>
      <w:r>
        <w:t xml:space="preserve">.</w:t>
      </w:r>
    </w:p>
    <w:p>
      <w:pPr>
        <w:pStyle w:val="Heading2"/>
        <w:keepNext/>
        <w:spacing w:after="80" w:before="300"/>
      </w:pPr>
      <w:r>
        <w:rPr>
          <w:b/>
          <w:bCs/>
          <w:color w:val="0D6D61"/>
          <w:sz w:val="25"/>
          <w:szCs w:val="25"/>
        </w:rPr>
        <w:t xml:space="preserve">(2) Crowding out</w:t>
      </w:r>
      <w:r>
        <w:rPr>
          <w:color w:val="7A8A86"/>
          <w:sz w:val="18"/>
          <w:szCs w:val="18"/>
        </w:rPr>
        <w:t xml:space="preserve">   slide 29</w:t>
      </w:r>
    </w:p>
    <w:p>
      <w:pPr>
        <w:spacing w:after="120" w:line="276"/>
      </w:pPr>
      <w:r>
        <w:t xml:space="preserve">Public redistribution reduces the incentive for </w:t>
      </w:r>
      <w:r>
        <w:rPr>
          <w:b/>
          <w:bCs/>
        </w:rPr>
        <w:t xml:space="preserve">private</w:t>
      </w:r>
      <w:r>
        <w:t xml:space="preserve"> redistribution:</w:t>
      </w:r>
    </w:p>
    <w:p>
      <w:pPr>
        <w:pStyle w:val="ListParagraph"/>
        <w:numPr>
          <w:ilvl w:val="0"/>
          <w:numId w:val="2"/>
        </w:numPr>
        <w:spacing w:after="70" w:line="276"/>
      </w:pPr>
      <w:r>
        <w:rPr>
          <w:b/>
          <w:bCs/>
        </w:rPr>
        <w:t xml:space="preserve">Private charity</w:t>
      </w:r>
      <w:r>
        <w:t xml:space="preserve"> falls when the state transfers, because donors care about the recipient's total income and free-ride on public provision.</w:t>
      </w:r>
    </w:p>
    <w:p>
      <w:pPr>
        <w:pStyle w:val="ListParagraph"/>
        <w:numPr>
          <w:ilvl w:val="0"/>
          <w:numId w:val="2"/>
        </w:numPr>
        <w:spacing w:after="70" w:line="276"/>
      </w:pPr>
      <w:r>
        <w:rPr>
          <w:b/>
          <w:bCs/>
        </w:rPr>
        <w:t xml:space="preserve">Private saving</w:t>
      </w:r>
      <w:r>
        <w:t xml:space="preserve"> falls when public social security insures old age and bad times. In Rosen's two-period model the crowding out can be </w:t>
      </w:r>
      <w:r>
        <w:rPr>
          <w:b/>
          <w:bCs/>
        </w:rPr>
        <w:t xml:space="preserve">one-for-one</w:t>
      </w:r>
      <w:r>
        <w:t xml:space="preserve">, with consumption unchanged.</w:t>
      </w:r>
    </w:p>
    <w:p>
      <w:pPr>
        <w:spacing w:after="120" w:line="276"/>
      </w:pPr>
      <w:r>
        <w:t xml:space="preserve">Van Prinsterer made exactly this argument in 1851: state poor relief 'gives church and private charity a sleeping draught' and so destroys voluntary charity.</w:t>
      </w:r>
    </w:p>
    <w:p>
      <w:pPr>
        <w:pBdr>
          <w:left w:val="single" w:color="B4560F" w:sz="16" w:space="8"/>
        </w:pBdr>
        <w:shd w:fill="FBF0E5" w:color="auto" w:val="clear"/>
        <w:spacing w:after="180" w:before="140" w:line="276"/>
        <w:ind w:left="340"/>
      </w:pPr>
      <w:r>
        <w:rPr>
          <w:color w:val="6B3A10"/>
          <w:sz w:val="20"/>
          <w:szCs w:val="20"/>
        </w:rPr>
        <w:t xml:space="preserve">Crowding out can be seen as a type of moral hazard: public insurance reduces private self-protection. Note the counter-arguments — crowding out is partial rather than complete, and private charity was under-provided to begin with because of free riding.</w:t>
      </w:r>
    </w:p>
    <w:p>
      <w:pPr>
        <w:pStyle w:val="Heading2"/>
        <w:keepNext/>
        <w:spacing w:after="80" w:before="300"/>
      </w:pPr>
      <w:r>
        <w:rPr>
          <w:b/>
          <w:bCs/>
          <w:color w:val="0D6D61"/>
          <w:sz w:val="25"/>
          <w:szCs w:val="25"/>
        </w:rPr>
        <w:t xml:space="preserve">(3) Can redistribution improve efficiency?</w:t>
      </w:r>
      <w:r>
        <w:rPr>
          <w:color w:val="7A8A86"/>
          <w:sz w:val="18"/>
          <w:szCs w:val="18"/>
        </w:rPr>
        <w:t xml:space="preserve">   slide 30</w:t>
      </w:r>
    </w:p>
    <w:p>
      <w:pPr>
        <w:pStyle w:val="ListParagraph"/>
        <w:numPr>
          <w:ilvl w:val="0"/>
          <w:numId w:val="2"/>
        </w:numPr>
        <w:spacing w:after="70" w:line="276"/>
      </w:pPr>
      <w:r>
        <w:t xml:space="preserve">Better nutrition can raise productivity.</w:t>
      </w:r>
    </w:p>
    <w:p>
      <w:pPr>
        <w:pStyle w:val="ListParagraph"/>
        <w:numPr>
          <w:ilvl w:val="0"/>
          <w:numId w:val="2"/>
        </w:numPr>
        <w:spacing w:after="70" w:line="276"/>
      </w:pPr>
      <w:r>
        <w:t xml:space="preserve">Recent work (Mullainathan and co-authors) shows poverty </w:t>
      </w:r>
      <w:r>
        <w:rPr>
          <w:b/>
          <w:bCs/>
        </w:rPr>
        <w:t xml:space="preserve">causally reduces the quality of decision-making</w:t>
      </w:r>
      <w:r>
        <w:t xml:space="preserve">.</w:t>
      </w:r>
    </w:p>
    <w:p>
      <w:pPr>
        <w:pStyle w:val="ListParagraph"/>
        <w:numPr>
          <w:ilvl w:val="0"/>
          <w:numId w:val="2"/>
        </w:numPr>
        <w:spacing w:after="70" w:line="276"/>
      </w:pPr>
      <w:r>
        <w:t xml:space="preserve">How inequality as such affects efficiency is an open question.</w:t>
      </w:r>
    </w:p>
    <w:p>
      <w:pPr>
        <w:spacing w:after="120" w:line="276"/>
      </w:pPr>
      <w:r>
        <w:rPr>
          <w:b/>
          <w:bCs/>
        </w:rPr>
        <w:t xml:space="preserve">Normative prescription:</w:t>
      </w:r>
      <w:r>
        <w:t xml:space="preserve"> any policy that improves both distribution and efficiency should simply be adopted.</w:t>
      </w:r>
    </w:p>
    <w:p>
      <w:pPr>
        <w:pStyle w:val="Heading2"/>
        <w:keepNext/>
        <w:spacing w:after="80" w:before="300"/>
      </w:pPr>
      <w:r>
        <w:rPr>
          <w:b/>
          <w:bCs/>
          <w:color w:val="0D6D61"/>
          <w:sz w:val="25"/>
          <w:szCs w:val="25"/>
        </w:rPr>
        <w:t xml:space="preserve">(4) Effect on labour supply</w:t>
      </w:r>
      <w:r>
        <w:rPr>
          <w:color w:val="7A8A86"/>
          <w:sz w:val="18"/>
          <w:szCs w:val="18"/>
        </w:rPr>
        <w:t xml:space="preserve">   slides 31–39 — the exam core</w:t>
      </w:r>
    </w:p>
    <w:p>
      <w:pPr>
        <w:spacing w:after="120" w:line="276"/>
      </w:pPr>
      <w:r>
        <w:t xml:space="preserve">Anti-poverty programs are </w:t>
      </w:r>
      <w:r>
        <w:rPr>
          <w:b/>
          <w:bCs/>
        </w:rPr>
        <w:t xml:space="preserve">means-tested</w:t>
      </w:r>
      <w:r>
        <w:t xml:space="preserve">: eligibility depends on income. At some point benefits must fall as income rises, and </w:t>
      </w:r>
      <w:r>
        <w:rPr>
          <w:b/>
          <w:bCs/>
        </w:rPr>
        <w:t xml:space="preserve">that is economically identical to a tax on income</w:t>
      </w:r>
      <w:r>
        <w:t xml:space="preserve">. This is where assumption 3 from slide 17, that total income is fixed, gets relaxed.</w:t>
      </w:r>
    </w:p>
    <w:p>
      <w:pPr>
        <w:pStyle w:val="Heading3"/>
        <w:keepNext/>
        <w:spacing w:after="70" w:before="220"/>
      </w:pPr>
      <w:r>
        <w:rPr>
          <w:b/>
          <w:bCs/>
          <w:color w:val="44546A"/>
          <w:sz w:val="22"/>
          <w:szCs w:val="22"/>
        </w:rPr>
        <w:t xml:space="preserve">The set-up</w:t>
      </w:r>
    </w:p>
    <w:p>
      <w:pPr>
        <w:pStyle w:val="ListParagraph"/>
        <w:numPr>
          <w:ilvl w:val="0"/>
          <w:numId w:val="2"/>
        </w:numPr>
        <w:spacing w:after="70" w:line="276"/>
      </w:pPr>
      <w:r>
        <w:t xml:space="preserve">Utility U(y, L) rises in income y and leisure L.</w:t>
      </w:r>
    </w:p>
    <w:p>
      <w:pPr>
        <w:pStyle w:val="ListParagraph"/>
        <w:numPr>
          <w:ilvl w:val="0"/>
          <w:numId w:val="2"/>
        </w:numPr>
        <w:spacing w:after="70" w:line="276"/>
      </w:pPr>
      <w:r>
        <w:t xml:space="preserve">Wage w, total time T, so earnings E = w(T - L).</w:t>
      </w:r>
    </w:p>
    <w:p>
      <w:pPr>
        <w:pStyle w:val="ListParagraph"/>
        <w:numPr>
          <w:ilvl w:val="0"/>
          <w:numId w:val="2"/>
        </w:numPr>
        <w:spacing w:after="70" w:line="276"/>
      </w:pPr>
      <w:r>
        <w:t xml:space="preserve">Without redistribution, y = E.</w:t>
      </w:r>
    </w:p>
    <w:p>
      <w:pPr>
        <w:spacing w:after="120" w:line="276"/>
      </w:pPr>
      <w:r>
        <w:t xml:space="preserve">A basic welfare program has two parameters: a </w:t>
      </w:r>
      <w:r>
        <w:rPr>
          <w:b/>
          <w:bCs/>
        </w:rPr>
        <w:t xml:space="preserve">grant G</w:t>
      </w:r>
      <w:r>
        <w:t xml:space="preserve"> received when earnings are zero, and a </w:t>
      </w:r>
      <w:r>
        <w:rPr>
          <w:b/>
          <w:bCs/>
        </w:rPr>
        <w:t xml:space="preserve">withdrawal rate t</w:t>
      </w:r>
      <w:r>
        <w:t xml:space="preserve"> at which the grant is reduced per euro earned.</w:t>
      </w:r>
    </w:p>
    <w:p>
      <w:pPr>
        <w:pBdr>
          <w:left w:val="single" w:color="0D6D61" w:sz="12" w:space="8"/>
        </w:pBdr>
        <w:shd w:fill="EEF3F2" w:color="auto" w:val="clear"/>
        <w:spacing w:after="140" w:before="100" w:line="300"/>
        <w:ind w:left="340"/>
      </w:pPr>
      <w:r>
        <w:rPr>
          <w:rFonts w:ascii="Cambria Math" w:cs="Cambria Math" w:eastAsia="Cambria Math" w:hAnsi="Cambria Math"/>
          <w:sz w:val="22"/>
          <w:szCs w:val="22"/>
        </w:rPr>
        <w:t xml:space="preserve">B = G - tE</w:t>
      </w:r>
      <w:r>
        <w:rPr>
          <w:rFonts w:ascii="Calibri" w:cs="Calibri" w:eastAsia="Calibri" w:hAnsi="Calibri"/>
          <w:i/>
          <w:iCs/>
          <w:color w:val="7A8A86"/>
          <w:sz w:val="18"/>
          <w:szCs w:val="18"/>
        </w:rPr>
        <w:t xml:space="preserve">     the benefit actually received</w:t>
      </w:r>
      <w:r>
        <w:br/>
      </w:r>
      <w:r>
        <w:rPr>
          <w:rFonts w:ascii="Cambria Math" w:cs="Cambria Math" w:eastAsia="Cambria Math" w:hAnsi="Cambria Math"/>
          <w:sz w:val="22"/>
          <w:szCs w:val="22"/>
        </w:rPr>
        <w:t xml:space="preserve">B = 0 once E &gt;= G/t</w:t>
      </w:r>
      <w:r>
        <w:rPr>
          <w:rFonts w:ascii="Calibri" w:cs="Calibri" w:eastAsia="Calibri" w:hAnsi="Calibri"/>
          <w:i/>
          <w:iCs/>
          <w:color w:val="7A8A86"/>
          <w:sz w:val="18"/>
          <w:szCs w:val="18"/>
        </w:rPr>
        <w:t xml:space="preserve">     the break-even point</w:t>
      </w:r>
      <w:r>
        <w:br/>
      </w:r>
      <w:r>
        <w:rPr>
          <w:rFonts w:ascii="Cambria Math" w:cs="Cambria Math" w:eastAsia="Cambria Math" w:hAnsi="Cambria Math"/>
          <w:sz w:val="22"/>
          <w:szCs w:val="22"/>
        </w:rPr>
        <w:t xml:space="preserve">y = E + B = G + (1 - t)E</w:t>
      </w:r>
      <w:r>
        <w:rPr>
          <w:rFonts w:ascii="Calibri" w:cs="Calibri" w:eastAsia="Calibri" w:hAnsi="Calibri"/>
          <w:i/>
          <w:iCs/>
          <w:color w:val="7A8A86"/>
          <w:sz w:val="18"/>
          <w:szCs w:val="18"/>
        </w:rPr>
        <w:t xml:space="preserve">     total income</w:t>
      </w:r>
    </w:p>
    <w:p>
      <w:pPr>
        <w:keepNext/>
        <w:spacing w:after="50" w:before="140"/>
        <w:jc w:val="center"/>
      </w:pPr>
      <w:r>
        <w:drawing>
          <wp:inline distT="0" distB="0" distL="0" distR="0">
            <wp:extent cx="512445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24450" cy="3314700"/>
                    </a:xfrm>
                    <a:prstGeom prst="rect">
                      <a:avLst/>
                    </a:prstGeom>
                  </pic:spPr>
                </pic:pic>
              </a:graphicData>
            </a:graphic>
          </wp:inline>
        </w:drawing>
      </w:r>
    </w:p>
    <w:p>
      <w:pPr>
        <w:spacing w:after="170"/>
        <w:jc w:val="center"/>
      </w:pPr>
      <w:r>
        <w:rPr>
          <w:i/>
          <w:iCs/>
          <w:color w:val="7A8A86"/>
          <w:sz w:val="17"/>
          <w:szCs w:val="17"/>
        </w:rPr>
        <w:t xml:space="preserve">The program lifts the right-hand end of the budget line by G and flattens its slope from w to (1 - t)w. The kink H is where the benefit runs out.</w:t>
      </w:r>
    </w:p>
    <w:p>
      <w:pPr>
        <w:spacing w:after="120" w:line="276"/>
      </w:pPr>
      <w:r>
        <w:t xml:space="preserve">Reading the diagram: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tblHeader/>
        </w:trPr>
        <w:tc>
          <w:tcPr>
            <w:tcW w:type="dxa" w:w="1700"/>
            <w:shd w:fill="DEEAF6" w:color="auto" w:val="clear"/>
            <w:tcMar>
              <w:top w:type="dxa" w:w="60"/>
              <w:left w:type="dxa" w:w="100"/>
              <w:bottom w:type="dxa" w:w="60"/>
              <w:right w:type="dxa" w:w="100"/>
            </w:tcMar>
          </w:tcPr>
          <w:p>
            <w:pPr>
              <w:spacing w:after="0"/>
            </w:pPr>
            <w:r>
              <w:rPr>
                <w:b/>
                <w:bCs/>
                <w:sz w:val="19"/>
                <w:szCs w:val="19"/>
              </w:rPr>
              <w:t xml:space="preserve">Label</w:t>
            </w:r>
          </w:p>
        </w:tc>
        <w:tc>
          <w:tcPr>
            <w:tcW w:type="dxa" w:w="7938"/>
            <w:shd w:fill="DEEAF6" w:color="auto" w:val="clear"/>
            <w:tcMar>
              <w:top w:type="dxa" w:w="60"/>
              <w:left w:type="dxa" w:w="100"/>
              <w:bottom w:type="dxa" w:w="60"/>
              <w:right w:type="dxa" w:w="100"/>
            </w:tcMar>
          </w:tcPr>
          <w:p>
            <w:pPr>
              <w:spacing w:after="0"/>
            </w:pPr>
            <w:r>
              <w:rPr>
                <w:b/>
                <w:bCs/>
                <w:sz w:val="19"/>
                <w:szCs w:val="19"/>
              </w:rPr>
              <w:t xml:space="preserve">Meaning</w:t>
            </w:r>
          </w:p>
        </w:tc>
      </w:tr>
      <w:tr>
        <w:trPr>
          <w:tblHeader w:val="false"/>
        </w:trPr>
        <w:tc>
          <w:tcPr>
            <w:tcW w:type="dxa" w:w="1700"/>
            <w:tcMar>
              <w:top w:type="dxa" w:w="60"/>
              <w:left w:type="dxa" w:w="100"/>
              <w:bottom w:type="dxa" w:w="60"/>
              <w:right w:type="dxa" w:w="100"/>
            </w:tcMar>
          </w:tcPr>
          <w:p>
            <w:pPr>
              <w:spacing w:after="0"/>
            </w:pPr>
            <w:r>
              <w:rPr>
                <w:b/>
                <w:bCs/>
                <w:sz w:val="19"/>
                <w:szCs w:val="19"/>
              </w:rPr>
              <w:t xml:space="preserve">T</w:t>
            </w:r>
          </w:p>
        </w:tc>
        <w:tc>
          <w:tcPr>
            <w:tcW w:type="dxa" w:w="7938"/>
            <w:tcMar>
              <w:top w:type="dxa" w:w="60"/>
              <w:left w:type="dxa" w:w="100"/>
              <w:bottom w:type="dxa" w:w="60"/>
              <w:right w:type="dxa" w:w="100"/>
            </w:tcMar>
          </w:tcPr>
          <w:p>
            <w:pPr>
              <w:spacing w:after="0"/>
            </w:pPr>
            <w:r>
              <w:rPr>
                <w:b w:val="false"/>
                <w:bCs w:val="false"/>
                <w:sz w:val="19"/>
                <w:szCs w:val="19"/>
              </w:rPr>
              <w:t xml:space="preserve">all time taken as leisure — no work at all</w:t>
            </w:r>
          </w:p>
        </w:tc>
      </w:tr>
      <w:tr>
        <w:trPr>
          <w:tblHeader w:val="false"/>
        </w:trPr>
        <w:tc>
          <w:tcPr>
            <w:tcW w:type="dxa" w:w="1700"/>
            <w:tcMar>
              <w:top w:type="dxa" w:w="60"/>
              <w:left w:type="dxa" w:w="100"/>
              <w:bottom w:type="dxa" w:w="60"/>
              <w:right w:type="dxa" w:w="100"/>
            </w:tcMar>
          </w:tcPr>
          <w:p>
            <w:pPr>
              <w:spacing w:after="0"/>
            </w:pPr>
            <w:r>
              <w:rPr>
                <w:b/>
                <w:bCs/>
                <w:sz w:val="19"/>
                <w:szCs w:val="19"/>
              </w:rPr>
              <w:t xml:space="preserve">wT</w:t>
            </w:r>
          </w:p>
        </w:tc>
        <w:tc>
          <w:tcPr>
            <w:tcW w:type="dxa" w:w="7938"/>
            <w:tcMar>
              <w:top w:type="dxa" w:w="60"/>
              <w:left w:type="dxa" w:w="100"/>
              <w:bottom w:type="dxa" w:w="60"/>
              <w:right w:type="dxa" w:w="100"/>
            </w:tcMar>
          </w:tcPr>
          <w:p>
            <w:pPr>
              <w:spacing w:after="0"/>
            </w:pPr>
            <w:r>
              <w:rPr>
                <w:b w:val="false"/>
                <w:bCs w:val="false"/>
                <w:sz w:val="19"/>
                <w:szCs w:val="19"/>
              </w:rPr>
              <w:t xml:space="preserve">all time worked — maximum possible earnings</w:t>
            </w:r>
          </w:p>
        </w:tc>
      </w:tr>
      <w:tr>
        <w:trPr>
          <w:tblHeader w:val="false"/>
        </w:trPr>
        <w:tc>
          <w:tcPr>
            <w:tcW w:type="dxa" w:w="1700"/>
            <w:tcMar>
              <w:top w:type="dxa" w:w="60"/>
              <w:left w:type="dxa" w:w="100"/>
              <w:bottom w:type="dxa" w:w="60"/>
              <w:right w:type="dxa" w:w="100"/>
            </w:tcMar>
          </w:tcPr>
          <w:p>
            <w:pPr>
              <w:spacing w:after="0"/>
            </w:pPr>
            <w:r>
              <w:rPr>
                <w:b/>
                <w:bCs/>
                <w:sz w:val="19"/>
                <w:szCs w:val="19"/>
              </w:rPr>
              <w:t xml:space="preserve">G</w:t>
            </w:r>
          </w:p>
        </w:tc>
        <w:tc>
          <w:tcPr>
            <w:tcW w:type="dxa" w:w="7938"/>
            <w:tcMar>
              <w:top w:type="dxa" w:w="60"/>
              <w:left w:type="dxa" w:w="100"/>
              <w:bottom w:type="dxa" w:w="60"/>
              <w:right w:type="dxa" w:w="100"/>
            </w:tcMar>
          </w:tcPr>
          <w:p>
            <w:pPr>
              <w:spacing w:after="0"/>
            </w:pPr>
            <w:r>
              <w:rPr>
                <w:b w:val="false"/>
                <w:bCs w:val="false"/>
                <w:sz w:val="19"/>
                <w:szCs w:val="19"/>
              </w:rPr>
              <w:t xml:space="preserve">the lift at the right-hand end: income when you earn nothing</w:t>
            </w:r>
          </w:p>
        </w:tc>
      </w:tr>
      <w:tr>
        <w:trPr>
          <w:tblHeader w:val="false"/>
        </w:trPr>
        <w:tc>
          <w:tcPr>
            <w:tcW w:type="dxa" w:w="1700"/>
            <w:tcMar>
              <w:top w:type="dxa" w:w="60"/>
              <w:left w:type="dxa" w:w="100"/>
              <w:bottom w:type="dxa" w:w="60"/>
              <w:right w:type="dxa" w:w="100"/>
            </w:tcMar>
          </w:tcPr>
          <w:p>
            <w:pPr>
              <w:spacing w:after="0"/>
            </w:pPr>
            <w:r>
              <w:rPr>
                <w:b/>
                <w:bCs/>
                <w:sz w:val="19"/>
                <w:szCs w:val="19"/>
              </w:rPr>
              <w:t xml:space="preserve">slope w</w:t>
            </w:r>
          </w:p>
        </w:tc>
        <w:tc>
          <w:tcPr>
            <w:tcW w:type="dxa" w:w="7938"/>
            <w:tcMar>
              <w:top w:type="dxa" w:w="60"/>
              <w:left w:type="dxa" w:w="100"/>
              <w:bottom w:type="dxa" w:w="60"/>
              <w:right w:type="dxa" w:w="100"/>
            </w:tcMar>
          </w:tcPr>
          <w:p>
            <w:pPr>
              <w:spacing w:after="0"/>
            </w:pPr>
            <w:r>
              <w:rPr>
                <w:b w:val="false"/>
                <w:bCs w:val="false"/>
                <w:sz w:val="19"/>
                <w:szCs w:val="19"/>
              </w:rPr>
              <w:t xml:space="preserve">without the program you keep the whole wage</w:t>
            </w:r>
          </w:p>
        </w:tc>
      </w:tr>
      <w:tr>
        <w:trPr>
          <w:tblHeader w:val="false"/>
        </w:trPr>
        <w:tc>
          <w:tcPr>
            <w:tcW w:type="dxa" w:w="1700"/>
            <w:tcMar>
              <w:top w:type="dxa" w:w="60"/>
              <w:left w:type="dxa" w:w="100"/>
              <w:bottom w:type="dxa" w:w="60"/>
              <w:right w:type="dxa" w:w="100"/>
            </w:tcMar>
          </w:tcPr>
          <w:p>
            <w:pPr>
              <w:spacing w:after="0"/>
            </w:pPr>
            <w:r>
              <w:rPr>
                <w:b/>
                <w:bCs/>
                <w:sz w:val="19"/>
                <w:szCs w:val="19"/>
              </w:rPr>
              <w:t xml:space="preserve">slope (1-t)w</w:t>
            </w:r>
          </w:p>
        </w:tc>
        <w:tc>
          <w:tcPr>
            <w:tcW w:type="dxa" w:w="7938"/>
            <w:tcMar>
              <w:top w:type="dxa" w:w="60"/>
              <w:left w:type="dxa" w:w="100"/>
              <w:bottom w:type="dxa" w:w="60"/>
              <w:right w:type="dxa" w:w="100"/>
            </w:tcMar>
          </w:tcPr>
          <w:p>
            <w:pPr>
              <w:spacing w:after="0"/>
            </w:pPr>
            <w:r>
              <w:rPr>
                <w:b w:val="false"/>
                <w:bCs w:val="false"/>
                <w:sz w:val="19"/>
                <w:szCs w:val="19"/>
              </w:rPr>
              <w:t xml:space="preserve">on benefit you keep only (1 - t) of each euro earned</w:t>
            </w:r>
          </w:p>
        </w:tc>
      </w:tr>
      <w:tr>
        <w:trPr>
          <w:tblHeader w:val="false"/>
        </w:trPr>
        <w:tc>
          <w:tcPr>
            <w:tcW w:type="dxa" w:w="1700"/>
            <w:tcMar>
              <w:top w:type="dxa" w:w="60"/>
              <w:left w:type="dxa" w:w="100"/>
              <w:bottom w:type="dxa" w:w="60"/>
              <w:right w:type="dxa" w:w="100"/>
            </w:tcMar>
          </w:tcPr>
          <w:p>
            <w:pPr>
              <w:spacing w:after="0"/>
            </w:pPr>
            <w:r>
              <w:rPr>
                <w:b/>
                <w:bCs/>
                <w:sz w:val="19"/>
                <w:szCs w:val="19"/>
              </w:rPr>
              <w:t xml:space="preserve">H</w:t>
            </w:r>
          </w:p>
        </w:tc>
        <w:tc>
          <w:tcPr>
            <w:tcW w:type="dxa" w:w="7938"/>
            <w:tcMar>
              <w:top w:type="dxa" w:w="60"/>
              <w:left w:type="dxa" w:w="100"/>
              <w:bottom w:type="dxa" w:w="60"/>
              <w:right w:type="dxa" w:w="100"/>
            </w:tcMar>
          </w:tcPr>
          <w:p>
            <w:pPr>
              <w:spacing w:after="0"/>
            </w:pPr>
            <w:r>
              <w:rPr>
                <w:b w:val="false"/>
                <w:bCs w:val="false"/>
                <w:sz w:val="19"/>
                <w:szCs w:val="19"/>
              </w:rPr>
              <w:t xml:space="preserve">the leisure level at which the benefit reaches zero: H = T - G/(tw)</w:t>
            </w:r>
          </w:p>
        </w:tc>
      </w:tr>
      <w:tr>
        <w:trPr>
          <w:tblHeader w:val="false"/>
        </w:trPr>
        <w:tc>
          <w:tcPr>
            <w:tcW w:type="dxa" w:w="1700"/>
            <w:tcMar>
              <w:top w:type="dxa" w:w="60"/>
              <w:left w:type="dxa" w:w="100"/>
              <w:bottom w:type="dxa" w:w="60"/>
              <w:right w:type="dxa" w:w="100"/>
            </w:tcMar>
          </w:tcPr>
          <w:p>
            <w:pPr>
              <w:spacing w:after="0"/>
            </w:pPr>
            <w:r>
              <w:rPr>
                <w:b/>
                <w:bCs/>
                <w:sz w:val="19"/>
                <w:szCs w:val="19"/>
              </w:rPr>
              <w:t xml:space="preserve">G/t</w:t>
            </w:r>
          </w:p>
        </w:tc>
        <w:tc>
          <w:tcPr>
            <w:tcW w:type="dxa" w:w="7938"/>
            <w:tcMar>
              <w:top w:type="dxa" w:w="60"/>
              <w:left w:type="dxa" w:w="100"/>
              <w:bottom w:type="dxa" w:w="60"/>
              <w:right w:type="dxa" w:w="100"/>
            </w:tcMar>
          </w:tcPr>
          <w:p>
            <w:pPr>
              <w:spacing w:after="0"/>
            </w:pPr>
            <w:r>
              <w:rPr>
                <w:b w:val="false"/>
                <w:bCs w:val="false"/>
                <w:sz w:val="19"/>
                <w:szCs w:val="19"/>
              </w:rPr>
              <w:t xml:space="preserve">the income at that point, since the benefit is zero there</w:t>
            </w:r>
          </w:p>
        </w:tc>
      </w:tr>
    </w:tbl>
    <w:p>
      <w:pPr>
        <w:spacing w:after="150" w:line="276"/>
      </w:pPr>
    </w:p>
    <w:p>
      <w:pPr>
        <w:spacing w:after="120" w:line="276"/>
      </w:pPr>
      <w:r>
        <w:t xml:space="preserve">Left of H the benefit is already zero and cannot go negative, so the line returns to slope w and </w:t>
      </w:r>
      <w:r>
        <w:rPr>
          <w:b/>
          <w:bCs/>
        </w:rPr>
        <w:t xml:space="preserve">lies on top of the original line</w:t>
      </w:r>
      <w:r>
        <w:t xml:space="preserve">. People earning more than G/t are untouched by the program.</w:t>
      </w:r>
    </w:p>
    <w:p>
      <w:pPr>
        <w:pStyle w:val="Heading3"/>
        <w:keepNext/>
        <w:spacing w:after="70" w:before="220"/>
      </w:pPr>
      <w:r>
        <w:rPr>
          <w:b/>
          <w:bCs/>
          <w:color w:val="44546A"/>
          <w:sz w:val="22"/>
          <w:szCs w:val="22"/>
        </w:rPr>
        <w:t xml:space="preserve">Why work falls</w:t>
      </w:r>
    </w:p>
    <w:p>
      <w:pPr>
        <w:pStyle w:val="ListParagraph"/>
        <w:numPr>
          <w:ilvl w:val="0"/>
          <w:numId w:val="2"/>
        </w:numPr>
        <w:spacing w:after="70" w:line="276"/>
      </w:pPr>
      <w:r>
        <w:rPr>
          <w:b/>
          <w:bCs/>
        </w:rPr>
        <w:t xml:space="preserve">Income effect</w:t>
      </w:r>
      <w:r>
        <w:t xml:space="preserve">: you are better off at every low level of work, and leisure is a normal good.</w:t>
      </w:r>
    </w:p>
    <w:p>
      <w:pPr>
        <w:pStyle w:val="ListParagraph"/>
        <w:numPr>
          <w:ilvl w:val="0"/>
          <w:numId w:val="2"/>
        </w:numPr>
        <w:spacing w:after="70" w:line="276"/>
      </w:pPr>
      <w:r>
        <w:rPr>
          <w:b/>
          <w:bCs/>
        </w:rPr>
        <w:t xml:space="preserve">Substitution effect</w:t>
      </w:r>
      <w:r>
        <w:t xml:space="preserve">: an hour of work now pays (1 - t)w instead of w, so leisure is cheaper.</w:t>
      </w:r>
    </w:p>
    <w:p>
      <w:pPr>
        <w:spacing w:after="120" w:line="276"/>
      </w:pPr>
      <w:r>
        <w:t xml:space="preserve">Unusually, both effects point the </w:t>
      </w:r>
      <w:r>
        <w:rPr>
          <w:b/>
          <w:bCs/>
        </w:rPr>
        <w:t xml:space="preserve">same way</w:t>
      </w:r>
      <w:r>
        <w:t xml:space="preserve">, so the prediction is unambiguous: </w:t>
      </w:r>
      <w:r>
        <w:rPr>
          <w:b/>
          <w:bCs/>
        </w:rPr>
        <w:t xml:space="preserve">hours of work fall</w:t>
      </w:r>
      <w:r>
        <w:t xml:space="preserve">.</w:t>
      </w:r>
    </w:p>
    <w:p>
      <w:pPr>
        <w:pBdr>
          <w:left w:val="single" w:color="B4560F" w:sz="16" w:space="8"/>
        </w:pBdr>
        <w:shd w:fill="FBF0E5" w:color="auto" w:val="clear"/>
        <w:spacing w:after="180" w:before="140" w:line="276"/>
        <w:ind w:left="340"/>
      </w:pPr>
      <w:r>
        <w:rPr>
          <w:color w:val="6B3A10"/>
          <w:sz w:val="20"/>
          <w:szCs w:val="20"/>
        </w:rPr>
        <w:t xml:space="preserve">The efficiency problem: at the new choice the individual's marginal value of leisure is (1 - t)w, while marginal productivity is still w [slide 36]. That wedge is the source of the deadweight loss. At the original optimum, without the program, MRS = w and the outcome is efficient [slide 35].</w:t>
      </w:r>
    </w:p>
    <w:p>
      <w:pPr>
        <w:pStyle w:val="Heading3"/>
        <w:keepNext/>
        <w:spacing w:after="70" w:before="220"/>
      </w:pPr>
      <w:r>
        <w:rPr>
          <w:b/>
          <w:bCs/>
          <w:color w:val="44546A"/>
          <w:sz w:val="22"/>
          <w:szCs w:val="22"/>
        </w:rPr>
        <w:t xml:space="preserve">The numerical example</w:t>
      </w:r>
    </w:p>
    <w:p>
      <w:pPr>
        <w:spacing w:after="120" w:line="276"/>
      </w:pPr>
      <w:r>
        <w:t xml:space="preserve">Wage w = 15, total hours T = 720, so the budget line is y = 10800 - 15L. Utility is quasi-linear, U = Y + 9000 ln L, which makes utility differences readable directly in euros. The program has G = 450 and t = 0.1, so the benefit runs out at earnings of 450/0.1 = 4500, i.e. 300 hours of work, i.e. L = 420. The new budget line is y = 10170 - 13.5L.</w:t>
      </w:r>
    </w:p>
    <w:p>
      <w:pPr>
        <w:keepNext/>
        <w:spacing w:after="50" w:before="140"/>
        <w:jc w:val="center"/>
      </w:pPr>
      <w:r>
        <w:drawing>
          <wp:inline distT="0" distB="0" distL="0" distR="0">
            <wp:extent cx="512445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24450" cy="3314700"/>
                    </a:xfrm>
                    <a:prstGeom prst="rect">
                      <a:avLst/>
                    </a:prstGeom>
                  </pic:spPr>
                </pic:pic>
              </a:graphicData>
            </a:graphic>
          </wp:inline>
        </w:drawing>
      </w:r>
    </w:p>
    <w:p>
      <w:pPr>
        <w:spacing w:after="170"/>
        <w:jc w:val="center"/>
      </w:pPr>
      <w:r>
        <w:rPr>
          <w:i/>
          <w:iCs/>
          <w:color w:val="7A8A86"/>
          <w:sz w:val="17"/>
          <w:szCs w:val="17"/>
        </w:rPr>
        <w:t xml:space="preserve">D1 is the optimum without the program (120 hours of work); D2 is the optimum with it (53 1/3 hours). The thick line is the budget constraint under the program.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1769"/>
        <w:gridCol w:w="1769"/>
      </w:tblGrid>
      <w:tr>
        <w:trPr>
          <w:tblHeader/>
        </w:trPr>
        <w:tc>
          <w:tcPr>
            <w:tcW w:type="dxa" w:w="2500"/>
            <w:shd w:fill="DEEAF6" w:color="auto" w:val="clear"/>
            <w:tcMar>
              <w:top w:type="dxa" w:w="60"/>
              <w:left w:type="dxa" w:w="100"/>
              <w:bottom w:type="dxa" w:w="60"/>
              <w:right w:type="dxa" w:w="100"/>
            </w:tcMar>
          </w:tcPr>
          <w:p>
            <w:pPr>
              <w:spacing w:after="0"/>
            </w:pPr>
          </w:p>
        </w:tc>
        <w:tc>
          <w:tcPr>
            <w:tcW w:type="dxa" w:w="1800"/>
            <w:shd w:fill="DEEAF6" w:color="auto" w:val="clear"/>
            <w:tcMar>
              <w:top w:type="dxa" w:w="60"/>
              <w:left w:type="dxa" w:w="100"/>
              <w:bottom w:type="dxa" w:w="60"/>
              <w:right w:type="dxa" w:w="100"/>
            </w:tcMar>
          </w:tcPr>
          <w:p>
            <w:pPr>
              <w:spacing w:after="0"/>
            </w:pPr>
            <w:r>
              <w:rPr>
                <w:b/>
                <w:bCs/>
                <w:sz w:val="19"/>
                <w:szCs w:val="19"/>
              </w:rPr>
              <w:t xml:space="preserve">Hours worked</w:t>
            </w:r>
          </w:p>
        </w:tc>
        <w:tc>
          <w:tcPr>
            <w:tcW w:type="dxa" w:w="1800"/>
            <w:shd w:fill="DEEAF6" w:color="auto" w:val="clear"/>
            <w:tcMar>
              <w:top w:type="dxa" w:w="60"/>
              <w:left w:type="dxa" w:w="100"/>
              <w:bottom w:type="dxa" w:w="60"/>
              <w:right w:type="dxa" w:w="100"/>
            </w:tcMar>
          </w:tcPr>
          <w:p>
            <w:pPr>
              <w:spacing w:after="0"/>
            </w:pPr>
            <w:r>
              <w:rPr>
                <w:b/>
                <w:bCs/>
                <w:sz w:val="19"/>
                <w:szCs w:val="19"/>
              </w:rPr>
              <w:t xml:space="preserve">Earnings</w:t>
            </w:r>
          </w:p>
        </w:tc>
        <w:tc>
          <w:tcPr>
            <w:tcW w:type="dxa" w:w="1769"/>
            <w:shd w:fill="DEEAF6" w:color="auto" w:val="clear"/>
            <w:tcMar>
              <w:top w:type="dxa" w:w="60"/>
              <w:left w:type="dxa" w:w="100"/>
              <w:bottom w:type="dxa" w:w="60"/>
              <w:right w:type="dxa" w:w="100"/>
            </w:tcMar>
          </w:tcPr>
          <w:p>
            <w:pPr>
              <w:spacing w:after="0"/>
            </w:pPr>
            <w:r>
              <w:rPr>
                <w:b/>
                <w:bCs/>
                <w:sz w:val="19"/>
                <w:szCs w:val="19"/>
              </w:rPr>
              <w:t xml:space="preserve">Income</w:t>
            </w:r>
          </w:p>
        </w:tc>
        <w:tc>
          <w:tcPr>
            <w:tcW w:type="dxa" w:w="1769"/>
            <w:shd w:fill="DEEAF6" w:color="auto" w:val="clear"/>
            <w:tcMar>
              <w:top w:type="dxa" w:w="60"/>
              <w:left w:type="dxa" w:w="100"/>
              <w:bottom w:type="dxa" w:w="60"/>
              <w:right w:type="dxa" w:w="100"/>
            </w:tcMar>
          </w:tcPr>
          <w:p>
            <w:pPr>
              <w:spacing w:after="0"/>
            </w:pPr>
            <w:r>
              <w:rPr>
                <w:b/>
                <w:bCs/>
                <w:sz w:val="19"/>
                <w:szCs w:val="19"/>
              </w:rPr>
              <w:t xml:space="preserve">Utility</w:t>
            </w:r>
          </w:p>
        </w:tc>
      </w:tr>
      <w:tr>
        <w:trPr>
          <w:tblHeader w:val="false"/>
        </w:trPr>
        <w:tc>
          <w:tcPr>
            <w:tcW w:type="dxa" w:w="2500"/>
            <w:tcMar>
              <w:top w:type="dxa" w:w="60"/>
              <w:left w:type="dxa" w:w="100"/>
              <w:bottom w:type="dxa" w:w="60"/>
              <w:right w:type="dxa" w:w="100"/>
            </w:tcMar>
          </w:tcPr>
          <w:p>
            <w:pPr>
              <w:spacing w:after="0"/>
            </w:pPr>
            <w:r>
              <w:rPr>
                <w:b/>
                <w:bCs/>
                <w:sz w:val="19"/>
                <w:szCs w:val="19"/>
              </w:rPr>
              <w:t xml:space="preserve">No program</w:t>
            </w:r>
          </w:p>
        </w:tc>
        <w:tc>
          <w:tcPr>
            <w:tcW w:type="dxa" w:w="1800"/>
            <w:tcMar>
              <w:top w:type="dxa" w:w="60"/>
              <w:left w:type="dxa" w:w="100"/>
              <w:bottom w:type="dxa" w:w="60"/>
              <w:right w:type="dxa" w:w="100"/>
            </w:tcMar>
          </w:tcPr>
          <w:p>
            <w:pPr>
              <w:spacing w:after="0"/>
            </w:pPr>
            <w:r>
              <w:rPr>
                <w:b w:val="false"/>
                <w:bCs w:val="false"/>
                <w:sz w:val="19"/>
                <w:szCs w:val="19"/>
              </w:rPr>
              <w:t xml:space="preserve">120</w:t>
            </w:r>
          </w:p>
        </w:tc>
        <w:tc>
          <w:tcPr>
            <w:tcW w:type="dxa" w:w="1800"/>
            <w:tcMar>
              <w:top w:type="dxa" w:w="60"/>
              <w:left w:type="dxa" w:w="100"/>
              <w:bottom w:type="dxa" w:w="60"/>
              <w:right w:type="dxa" w:w="100"/>
            </w:tcMar>
          </w:tcPr>
          <w:p>
            <w:pPr>
              <w:spacing w:after="0"/>
            </w:pPr>
            <w:r>
              <w:rPr>
                <w:b w:val="false"/>
                <w:bCs w:val="false"/>
                <w:sz w:val="19"/>
                <w:szCs w:val="19"/>
              </w:rPr>
              <w:t xml:space="preserve">1800</w:t>
            </w:r>
          </w:p>
        </w:tc>
        <w:tc>
          <w:tcPr>
            <w:tcW w:type="dxa" w:w="1769"/>
            <w:tcMar>
              <w:top w:type="dxa" w:w="60"/>
              <w:left w:type="dxa" w:w="100"/>
              <w:bottom w:type="dxa" w:w="60"/>
              <w:right w:type="dxa" w:w="100"/>
            </w:tcMar>
          </w:tcPr>
          <w:p>
            <w:pPr>
              <w:spacing w:after="0"/>
            </w:pPr>
            <w:r>
              <w:rPr>
                <w:b w:val="false"/>
                <w:bCs w:val="false"/>
                <w:sz w:val="19"/>
                <w:szCs w:val="19"/>
              </w:rPr>
              <w:t xml:space="preserve">1800</w:t>
            </w:r>
          </w:p>
        </w:tc>
        <w:tc>
          <w:tcPr>
            <w:tcW w:type="dxa" w:w="1769"/>
            <w:tcMar>
              <w:top w:type="dxa" w:w="60"/>
              <w:left w:type="dxa" w:w="100"/>
              <w:bottom w:type="dxa" w:w="60"/>
              <w:right w:type="dxa" w:w="100"/>
            </w:tcMar>
          </w:tcPr>
          <w:p>
            <w:pPr>
              <w:spacing w:after="0"/>
            </w:pPr>
            <w:r>
              <w:rPr>
                <w:b w:val="false"/>
                <w:bCs w:val="false"/>
                <w:sz w:val="19"/>
                <w:szCs w:val="19"/>
              </w:rPr>
              <w:t xml:space="preserve">59,372.4</w:t>
            </w:r>
          </w:p>
        </w:tc>
      </w:tr>
      <w:tr>
        <w:trPr>
          <w:tblHeader w:val="false"/>
        </w:trPr>
        <w:tc>
          <w:tcPr>
            <w:tcW w:type="dxa" w:w="2500"/>
            <w:tcMar>
              <w:top w:type="dxa" w:w="60"/>
              <w:left w:type="dxa" w:w="100"/>
              <w:bottom w:type="dxa" w:w="60"/>
              <w:right w:type="dxa" w:w="100"/>
            </w:tcMar>
          </w:tcPr>
          <w:p>
            <w:pPr>
              <w:spacing w:after="0"/>
            </w:pPr>
            <w:r>
              <w:rPr>
                <w:b/>
                <w:bCs/>
                <w:sz w:val="19"/>
                <w:szCs w:val="19"/>
              </w:rPr>
              <w:t xml:space="preserve">With the program</w:t>
            </w:r>
          </w:p>
        </w:tc>
        <w:tc>
          <w:tcPr>
            <w:tcW w:type="dxa" w:w="1800"/>
            <w:tcMar>
              <w:top w:type="dxa" w:w="60"/>
              <w:left w:type="dxa" w:w="100"/>
              <w:bottom w:type="dxa" w:w="60"/>
              <w:right w:type="dxa" w:w="100"/>
            </w:tcMar>
          </w:tcPr>
          <w:p>
            <w:pPr>
              <w:spacing w:after="0"/>
            </w:pPr>
            <w:r>
              <w:rPr>
                <w:b w:val="false"/>
                <w:bCs w:val="false"/>
                <w:sz w:val="19"/>
                <w:szCs w:val="19"/>
              </w:rPr>
              <w:t xml:space="preserve">53 1/3</w:t>
            </w:r>
          </w:p>
        </w:tc>
        <w:tc>
          <w:tcPr>
            <w:tcW w:type="dxa" w:w="1800"/>
            <w:tcMar>
              <w:top w:type="dxa" w:w="60"/>
              <w:left w:type="dxa" w:w="100"/>
              <w:bottom w:type="dxa" w:w="60"/>
              <w:right w:type="dxa" w:w="100"/>
            </w:tcMar>
          </w:tcPr>
          <w:p>
            <w:pPr>
              <w:spacing w:after="0"/>
            </w:pPr>
            <w:r>
              <w:rPr>
                <w:b w:val="false"/>
                <w:bCs w:val="false"/>
                <w:sz w:val="19"/>
                <w:szCs w:val="19"/>
              </w:rPr>
              <w:t xml:space="preserve">800</w:t>
            </w:r>
          </w:p>
        </w:tc>
        <w:tc>
          <w:tcPr>
            <w:tcW w:type="dxa" w:w="1769"/>
            <w:tcMar>
              <w:top w:type="dxa" w:w="60"/>
              <w:left w:type="dxa" w:w="100"/>
              <w:bottom w:type="dxa" w:w="60"/>
              <w:right w:type="dxa" w:w="100"/>
            </w:tcMar>
          </w:tcPr>
          <w:p>
            <w:pPr>
              <w:spacing w:after="0"/>
            </w:pPr>
            <w:r>
              <w:rPr>
                <w:b w:val="false"/>
                <w:bCs w:val="false"/>
                <w:sz w:val="19"/>
                <w:szCs w:val="19"/>
              </w:rPr>
              <w:t xml:space="preserve">1170 (incl. 370 benefit)</w:t>
            </w:r>
          </w:p>
        </w:tc>
        <w:tc>
          <w:tcPr>
            <w:tcW w:type="dxa" w:w="1769"/>
            <w:tcMar>
              <w:top w:type="dxa" w:w="60"/>
              <w:left w:type="dxa" w:w="100"/>
              <w:bottom w:type="dxa" w:w="60"/>
              <w:right w:type="dxa" w:w="100"/>
            </w:tcMar>
          </w:tcPr>
          <w:p>
            <w:pPr>
              <w:spacing w:after="0"/>
            </w:pPr>
            <w:r>
              <w:rPr>
                <w:b w:val="false"/>
                <w:bCs w:val="false"/>
                <w:sz w:val="19"/>
                <w:szCs w:val="19"/>
              </w:rPr>
              <w:t xml:space="preserve">59,690.6</w:t>
            </w:r>
          </w:p>
        </w:tc>
      </w:tr>
      <w:tr>
        <w:trPr>
          <w:tblHeader w:val="false"/>
        </w:trPr>
        <w:tc>
          <w:tcPr>
            <w:tcW w:type="dxa" w:w="2500"/>
            <w:tcMar>
              <w:top w:type="dxa" w:w="60"/>
              <w:left w:type="dxa" w:w="100"/>
              <w:bottom w:type="dxa" w:w="60"/>
              <w:right w:type="dxa" w:w="100"/>
            </w:tcMar>
          </w:tcPr>
          <w:p>
            <w:pPr>
              <w:spacing w:after="0"/>
            </w:pPr>
            <w:r>
              <w:rPr>
                <w:b/>
                <w:bCs/>
                <w:sz w:val="19"/>
                <w:szCs w:val="19"/>
              </w:rPr>
              <w:t xml:space="preserve">Same 370 as a lump sum</w:t>
            </w:r>
          </w:p>
        </w:tc>
        <w:tc>
          <w:tcPr>
            <w:tcW w:type="dxa" w:w="1800"/>
            <w:tcMar>
              <w:top w:type="dxa" w:w="60"/>
              <w:left w:type="dxa" w:w="100"/>
              <w:bottom w:type="dxa" w:w="60"/>
              <w:right w:type="dxa" w:w="100"/>
            </w:tcMar>
          </w:tcPr>
          <w:p>
            <w:pPr>
              <w:spacing w:after="0"/>
            </w:pPr>
            <w:r>
              <w:rPr>
                <w:b w:val="false"/>
                <w:bCs w:val="false"/>
                <w:sz w:val="19"/>
                <w:szCs w:val="19"/>
              </w:rPr>
              <w:t xml:space="preserve">120</w:t>
            </w:r>
          </w:p>
        </w:tc>
        <w:tc>
          <w:tcPr>
            <w:tcW w:type="dxa" w:w="1800"/>
            <w:tcMar>
              <w:top w:type="dxa" w:w="60"/>
              <w:left w:type="dxa" w:w="100"/>
              <w:bottom w:type="dxa" w:w="60"/>
              <w:right w:type="dxa" w:w="100"/>
            </w:tcMar>
          </w:tcPr>
          <w:p>
            <w:pPr>
              <w:spacing w:after="0"/>
            </w:pPr>
            <w:r>
              <w:rPr>
                <w:b w:val="false"/>
                <w:bCs w:val="false"/>
                <w:sz w:val="19"/>
                <w:szCs w:val="19"/>
              </w:rPr>
              <w:t xml:space="preserve">1800</w:t>
            </w:r>
          </w:p>
        </w:tc>
        <w:tc>
          <w:tcPr>
            <w:tcW w:type="dxa" w:w="1769"/>
            <w:tcMar>
              <w:top w:type="dxa" w:w="60"/>
              <w:left w:type="dxa" w:w="100"/>
              <w:bottom w:type="dxa" w:w="60"/>
              <w:right w:type="dxa" w:w="100"/>
            </w:tcMar>
          </w:tcPr>
          <w:p>
            <w:pPr>
              <w:spacing w:after="0"/>
            </w:pPr>
            <w:r>
              <w:rPr>
                <w:b w:val="false"/>
                <w:bCs w:val="false"/>
                <w:sz w:val="19"/>
                <w:szCs w:val="19"/>
              </w:rPr>
              <w:t xml:space="preserve">2170</w:t>
            </w:r>
          </w:p>
        </w:tc>
        <w:tc>
          <w:tcPr>
            <w:tcW w:type="dxa" w:w="1769"/>
            <w:tcMar>
              <w:top w:type="dxa" w:w="60"/>
              <w:left w:type="dxa" w:w="100"/>
              <w:bottom w:type="dxa" w:w="60"/>
              <w:right w:type="dxa" w:w="100"/>
            </w:tcMar>
          </w:tcPr>
          <w:p>
            <w:pPr>
              <w:spacing w:after="0"/>
            </w:pPr>
            <w:r>
              <w:rPr>
                <w:b w:val="false"/>
                <w:bCs w:val="false"/>
                <w:sz w:val="19"/>
                <w:szCs w:val="19"/>
              </w:rPr>
              <w:t xml:space="preserve">59,742.4</w:t>
            </w:r>
          </w:p>
        </w:tc>
      </w:tr>
    </w:tbl>
    <w:p>
      <w:pPr>
        <w:spacing w:after="150" w:line="276"/>
      </w:pPr>
    </w:p>
    <w:p>
      <w:pPr>
        <w:spacing w:after="120" w:line="276"/>
      </w:pPr>
      <w:r>
        <w:t xml:space="preserve">He works </w:t>
      </w:r>
      <w:r>
        <w:rPr>
          <w:b/>
          <w:bCs/>
        </w:rPr>
        <w:t xml:space="preserve">less than half as much</w:t>
      </w:r>
      <w:r>
        <w:t xml:space="preserve">, and he </w:t>
      </w:r>
      <w:r>
        <w:rPr>
          <w:b/>
          <w:bCs/>
        </w:rPr>
        <w:t xml:space="preserve">is better off</w:t>
      </w:r>
      <w:r>
        <w:t xml:space="preserve"> — the program does help him. But the third row is the punchline: hand over the </w:t>
      </w:r>
      <w:r>
        <w:rPr>
          <w:b/>
          <w:bCs/>
        </w:rPr>
        <w:t xml:space="preserve">same 370</w:t>
      </w:r>
      <w:r>
        <w:t xml:space="preserve"> with no strings and he is better off still, at </w:t>
      </w:r>
      <w:r>
        <w:rPr>
          <w:b/>
          <w:bCs/>
        </w:rPr>
        <w:t xml:space="preserve">identical cost to the government</w:t>
      </w:r>
      <w:r>
        <w:t xml:space="preserve">.</w:t>
      </w:r>
    </w:p>
    <w:p>
      <w:pPr>
        <w:pStyle w:val="Heading3"/>
        <w:keepNext/>
        <w:spacing w:after="70" w:before="220"/>
      </w:pPr>
      <w:r>
        <w:rPr>
          <w:b/>
          <w:bCs/>
          <w:color w:val="44546A"/>
          <w:sz w:val="22"/>
          <w:szCs w:val="22"/>
        </w:rPr>
        <w:t xml:space="preserve">Where the deadweight loss comes from</w:t>
      </w:r>
    </w:p>
    <w:p>
      <w:pPr>
        <w:spacing w:after="120" w:line="276"/>
      </w:pPr>
      <w:r>
        <w:t xml:space="preserve">Transfers are not losses: the 370 he receives and the 80 clawed back both simply change hands. What is destroyed is </w:t>
      </w:r>
      <w:r>
        <w:rPr>
          <w:b/>
          <w:bCs/>
        </w:rPr>
        <w:t xml:space="preserve">production that never happens</w:t>
      </w:r>
      <w:r>
        <w:t xml:space="preserve">.</w:t>
      </w:r>
    </w:p>
    <w:p>
      <w:pPr>
        <w:pBdr>
          <w:left w:val="single" w:color="0D6D61" w:sz="12" w:space="8"/>
        </w:pBdr>
        <w:shd w:fill="EEF3F2" w:color="auto" w:val="clear"/>
        <w:spacing w:after="140" w:before="100" w:line="300"/>
        <w:ind w:left="340"/>
      </w:pPr>
      <w:r>
        <w:rPr>
          <w:rFonts w:ascii="Cambria Math" w:cs="Cambria Math" w:eastAsia="Cambria Math" w:hAnsi="Cambria Math"/>
          <w:sz w:val="22"/>
          <w:szCs w:val="22"/>
        </w:rPr>
        <w:t xml:space="preserve">hours no longer worked = 66 2/3  -&gt;  output lost = 66 2/3 x 15 = 1000</w:t>
      </w:r>
      <w:r>
        <w:br/>
      </w:r>
      <w:r>
        <w:rPr>
          <w:rFonts w:ascii="Cambria Math" w:cs="Cambria Math" w:eastAsia="Cambria Math" w:hAnsi="Cambria Math"/>
          <w:sz w:val="22"/>
          <w:szCs w:val="22"/>
        </w:rPr>
        <w:t xml:space="preserve">value of the extra leisure he gains = 948.20</w:t>
      </w:r>
      <w:r>
        <w:br/>
      </w:r>
      <w:r>
        <w:rPr>
          <w:rFonts w:ascii="Cambria Math" w:cs="Cambria Math" w:eastAsia="Cambria Math" w:hAnsi="Cambria Math"/>
          <w:sz w:val="22"/>
          <w:szCs w:val="22"/>
        </w:rPr>
        <w:t xml:space="preserve">deadweight loss = 1000 - 948.20 = 51.80 per month</w:t>
      </w:r>
    </w:p>
    <w:p>
      <w:pPr>
        <w:spacing w:after="120" w:line="276"/>
      </w:pPr>
      <w:r>
        <w:t xml:space="preserve">Equivalently, as a leaky bucket: the government spends </w:t>
      </w:r>
      <w:r>
        <w:rPr>
          <w:b/>
          <w:bCs/>
        </w:rPr>
        <w:t xml:space="preserve">370</w:t>
      </w:r>
      <w:r>
        <w:t xml:space="preserve">, he gains the equivalent of </w:t>
      </w:r>
      <w:r>
        <w:rPr>
          <w:b/>
          <w:bCs/>
        </w:rPr>
        <w:t xml:space="preserve">318.20</w:t>
      </w:r>
      <w:r>
        <w:t xml:space="preserve">, and </w:t>
      </w:r>
      <w:r>
        <w:rPr>
          <w:b/>
          <w:bCs/>
        </w:rPr>
        <w:t xml:space="preserve">51.80 evaporates</w:t>
      </w:r>
      <w:r>
        <w:t xml:space="preserve">. Or as the familiar triangle: 66 2/3 hours lost times the wedge tw = 1.50, halved, is about 50.</w:t>
      </w:r>
    </w:p>
    <w:p>
      <w:pPr>
        <w:pBdr>
          <w:left w:val="single" w:color="B4560F" w:sz="16" w:space="8"/>
        </w:pBdr>
        <w:shd w:fill="FBF0E5" w:color="auto" w:val="clear"/>
        <w:spacing w:after="180" w:before="140" w:line="276"/>
        <w:ind w:left="340"/>
      </w:pPr>
      <w:r>
        <w:rPr>
          <w:color w:val="6B3A10"/>
          <w:sz w:val="20"/>
          <w:szCs w:val="20"/>
        </w:rPr>
        <w:t xml:space="preserve">Why the lump sum leaks nothing: it does not change his take-home wage, so he still works 120 hours, no output disappears, and the money simply moves. That is the practical meaning of a lump-sum transfer in the second fundamental theorem.</w:t>
      </w:r>
    </w:p>
    <w:p>
      <w:pPr>
        <w:pStyle w:val="Heading3"/>
        <w:keepNext/>
        <w:spacing w:after="70" w:before="220"/>
      </w:pPr>
      <w:r>
        <w:rPr>
          <w:b/>
          <w:bCs/>
          <w:color w:val="44546A"/>
          <w:sz w:val="22"/>
          <w:szCs w:val="22"/>
        </w:rPr>
        <w:t xml:space="preserve">The extreme case t = 1</w:t>
      </w:r>
    </w:p>
    <w:p>
      <w:pPr>
        <w:keepNext/>
        <w:spacing w:after="50" w:before="140"/>
        <w:jc w:val="center"/>
      </w:pPr>
      <w:r>
        <w:drawing>
          <wp:inline distT="0" distB="0" distL="0" distR="0">
            <wp:extent cx="512445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4450" cy="3314700"/>
                    </a:xfrm>
                    <a:prstGeom prst="rect">
                      <a:avLst/>
                    </a:prstGeom>
                  </pic:spPr>
                </pic:pic>
              </a:graphicData>
            </a:graphic>
          </wp:inline>
        </w:drawing>
      </w:r>
    </w:p>
    <w:p>
      <w:pPr>
        <w:spacing w:after="170"/>
        <w:jc w:val="center"/>
      </w:pPr>
      <w:r>
        <w:rPr>
          <w:i/>
          <w:iCs/>
          <w:color w:val="7A8A86"/>
          <w:sz w:val="17"/>
          <w:szCs w:val="17"/>
        </w:rPr>
        <w:t xml:space="preserve">With a full clawback the budget line is horizontal up to R: an extra hour of work adds nothing at all, so zero hours are chosen. This is the poverty trap.</w:t>
      </w:r>
    </w:p>
    <w:p>
      <w:pPr>
        <w:pStyle w:val="Heading3"/>
        <w:keepNext/>
        <w:spacing w:after="70" w:before="220"/>
      </w:pPr>
      <w:r>
        <w:rPr>
          <w:b/>
          <w:bCs/>
          <w:color w:val="44546A"/>
          <w:sz w:val="22"/>
          <w:szCs w:val="22"/>
        </w:rPr>
        <w:t xml:space="preserve">How big is the effect really?</w:t>
      </w:r>
    </w:p>
    <w:p>
      <w:pPr>
        <w:spacing w:after="120" w:line="276"/>
      </w:pPr>
      <w:r>
        <w:t xml:space="preserve">The size of the efficiency cost depends on how strongly people respond to the substitution effect — the </w:t>
      </w:r>
      <w:r>
        <w:rPr>
          <w:b/>
          <w:bCs/>
        </w:rPr>
        <w:t xml:space="preserve">labour supply elasticity</w:t>
      </w:r>
      <w:r>
        <w:t xml:space="preserve">. That is an </w:t>
      </w:r>
      <w:r>
        <w:rPr>
          <w:b/>
          <w:bCs/>
        </w:rPr>
        <w:t xml:space="preserve">empirical</w:t>
      </w:r>
      <w:r>
        <w:t xml:space="preserve"> question, not something theory settles.</w:t>
      </w:r>
    </w:p>
    <w:p>
      <w:pPr>
        <w:pStyle w:val="Heading1"/>
        <w:keepNext/>
        <w:spacing w:after="140" w:before="380"/>
      </w:pPr>
      <w:r>
        <w:rPr>
          <w:b/>
          <w:bCs/>
          <w:color w:val="1F3864"/>
          <w:sz w:val="30"/>
          <w:szCs w:val="30"/>
        </w:rPr>
        <w:t xml:space="preserve">5. The EITC</w:t>
      </w:r>
    </w:p>
    <w:p>
      <w:pPr>
        <w:spacing w:after="120" w:line="276"/>
      </w:pPr>
      <w:r>
        <w:t xml:space="preserve">The Earned Income Tax Credit subsidises earnings through the income tax, so low-income workers face </w:t>
      </w:r>
      <w:r>
        <w:rPr>
          <w:b/>
          <w:bCs/>
        </w:rPr>
        <w:t xml:space="preserve">negative</w:t>
      </w:r>
      <w:r>
        <w:t xml:space="preserve"> taxes. It is aimed at the </w:t>
      </w:r>
      <w:r>
        <w:rPr>
          <w:b/>
          <w:bCs/>
        </w:rPr>
        <w:t xml:space="preserve">working poor</w:t>
      </w:r>
      <w:r>
        <w:t xml:space="preserve">.</w:t>
      </w:r>
    </w:p>
    <w:p>
      <w:pPr>
        <w:keepNext/>
        <w:spacing w:after="50" w:before="140"/>
        <w:jc w:val="center"/>
      </w:pPr>
      <w:r>
        <w:drawing>
          <wp:inline distT="0" distB="0" distL="0" distR="0">
            <wp:extent cx="512445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4450" cy="3314700"/>
                    </a:xfrm>
                    <a:prstGeom prst="rect">
                      <a:avLst/>
                    </a:prstGeom>
                  </pic:spPr>
                </pic:pic>
              </a:graphicData>
            </a:graphic>
          </wp:inline>
        </w:drawing>
      </w:r>
    </w:p>
    <w:p>
      <w:pPr>
        <w:spacing w:after="170"/>
        <w:jc w:val="center"/>
      </w:pPr>
      <w:r>
        <w:rPr>
          <w:i/>
          <w:iCs/>
          <w:color w:val="7A8A86"/>
          <w:sz w:val="17"/>
          <w:szCs w:val="17"/>
        </w:rPr>
        <w:t xml:space="preserve">The EITC has three ranges: a phase-in where the subsidy makes the line steeper, a plateau, and a phase-out where withdrawal makes it flatter.</w:t>
      </w:r>
    </w:p>
    <w:p>
      <w:pPr>
        <w:pStyle w:val="ListParagraph"/>
        <w:numPr>
          <w:ilvl w:val="0"/>
          <w:numId w:val="2"/>
        </w:numPr>
        <w:spacing w:after="70" w:line="276"/>
      </w:pPr>
      <w:r>
        <w:rPr>
          <w:b/>
          <w:bCs/>
        </w:rPr>
        <w:t xml:space="preserve">Phase-in range</w:t>
      </w:r>
      <w:r>
        <w:t xml:space="preserve">: the subsidy is a negative marginal tax rate, so the slope is steeper than w and there is a </w:t>
      </w:r>
      <w:r>
        <w:rPr>
          <w:b/>
          <w:bCs/>
        </w:rPr>
        <w:t xml:space="preserve">stronger</w:t>
      </w:r>
      <w:r>
        <w:t xml:space="preserve"> incentive to earn.</w:t>
      </w:r>
    </w:p>
    <w:p>
      <w:pPr>
        <w:pStyle w:val="ListParagraph"/>
        <w:numPr>
          <w:ilvl w:val="0"/>
          <w:numId w:val="2"/>
        </w:numPr>
        <w:spacing w:after="70" w:line="276"/>
      </w:pPr>
      <w:r>
        <w:rPr>
          <w:b/>
          <w:bCs/>
        </w:rPr>
        <w:t xml:space="preserve">Plateau</w:t>
      </w:r>
      <w:r>
        <w:t xml:space="preserve">: the credit is constant, so the slope is back to w.</w:t>
      </w:r>
    </w:p>
    <w:p>
      <w:pPr>
        <w:pStyle w:val="ListParagraph"/>
        <w:numPr>
          <w:ilvl w:val="0"/>
          <w:numId w:val="2"/>
        </w:numPr>
        <w:spacing w:after="70" w:line="276"/>
      </w:pPr>
      <w:r>
        <w:rPr>
          <w:b/>
          <w:bCs/>
        </w:rPr>
        <w:t xml:space="preserve">Phase-out range</w:t>
      </w:r>
      <w:r>
        <w:t xml:space="preserve">: the credit is withdrawn, giving a high marginal tax rate and the same disincentive as an ordinary means-tested benefit.</w:t>
      </w:r>
    </w:p>
    <w:p>
      <w:pPr>
        <w:pStyle w:val="Heading1"/>
        <w:keepNext/>
        <w:spacing w:after="140" w:before="380"/>
      </w:pPr>
      <w:r>
        <w:rPr>
          <w:b/>
          <w:bCs/>
          <w:color w:val="1F3864"/>
          <w:sz w:val="30"/>
          <w:szCs w:val="30"/>
        </w:rPr>
        <w:t xml:space="preserve">6. Conclusions</w:t>
      </w:r>
    </w:p>
    <w:p>
      <w:pPr>
        <w:pStyle w:val="ListParagraph"/>
        <w:numPr>
          <w:ilvl w:val="0"/>
          <w:numId w:val="2"/>
        </w:numPr>
        <w:spacing w:after="70" w:line="276"/>
      </w:pPr>
      <w:r>
        <w:t xml:space="preserve">Redistribution arises when society dislikes the distribution the market generates.</w:t>
      </w:r>
    </w:p>
    <w:p>
      <w:pPr>
        <w:pStyle w:val="ListParagraph"/>
        <w:numPr>
          <w:ilvl w:val="0"/>
          <w:numId w:val="2"/>
        </w:numPr>
        <w:spacing w:after="70" w:line="276"/>
      </w:pPr>
      <w:r>
        <w:t xml:space="preserve">Market failure in redistribution: poverty externalities, the welfare state as a public good, and asymmetric information in 'poverty insurance'.</w:t>
      </w:r>
    </w:p>
    <w:p>
      <w:pPr>
        <w:pStyle w:val="ListParagraph"/>
        <w:numPr>
          <w:ilvl w:val="0"/>
          <w:numId w:val="2"/>
        </w:numPr>
        <w:spacing w:after="70" w:line="276"/>
      </w:pPr>
      <w:r>
        <w:t xml:space="preserve">Anti-poverty programs are mostly means-tested, which weakens the incentive to earn.</w:t>
      </w:r>
    </w:p>
    <w:p>
      <w:pPr>
        <w:pStyle w:val="ListParagraph"/>
        <w:numPr>
          <w:ilvl w:val="0"/>
          <w:numId w:val="2"/>
        </w:numPr>
        <w:spacing w:after="70" w:line="276"/>
      </w:pPr>
      <w:r>
        <w:t xml:space="preserve">Hence a </w:t>
      </w:r>
      <w:r>
        <w:rPr>
          <w:b/>
          <w:bCs/>
        </w:rPr>
        <w:t xml:space="preserve">trade-off between redistribution and efficiency</w:t>
      </w:r>
      <w:r>
        <w:t xml:space="preserve">.</w:t>
      </w:r>
    </w:p>
    <w:p>
      <w:pPr>
        <w:spacing w:after="120" w:line="276"/>
      </w:pPr>
      <w:r>
        <w:rPr>
          <w:b/>
          <w:bCs/>
        </w:rPr>
        <w:t xml:space="preserve">Why this matters beyond this lecture</w:t>
      </w:r>
      <w:r>
        <w:t xml:space="preserve"> [54]: in an ideal world the second fundamental theorem lets you separate redistribution from efficiency policy. In practice redistribution is costly, so the distributional effects of policies aimed at efficiency matter in their own right — a tax on fossil fuels, investment in public transport, subsidising higher education.</w:t>
      </w:r>
    </w:p>
    <w:p>
      <w:pPr>
        <w:spacing w:after="120" w:line="276"/>
      </w:pPr>
      <w:r>
        <w:rPr>
          <w:b/>
          <w:bCs/>
        </w:rPr>
        <w:t xml:space="preserve">Next weeks</w:t>
      </w:r>
      <w:r>
        <w:t xml:space="preserve"> [55]: taxation. Incidence (who really bears the burden), efficiency (excess burden at the individual and market level), and optimal taxation in week 6.</w:t>
      </w:r>
    </w:p>
    <w:p>
      <w:pPr>
        <w:pStyle w:val="Heading1"/>
        <w:keepNext/>
        <w:spacing w:after="140" w:before="380"/>
      </w:pPr>
      <w:r>
        <w:rPr>
          <w:b/>
          <w:bCs/>
          <w:color w:val="1F3864"/>
          <w:sz w:val="30"/>
          <w:szCs w:val="30"/>
        </w:rPr>
        <w:t xml:space="preserve">Formula sheet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3600"/>
        <w:gridCol w:w="2638"/>
      </w:tblGrid>
      <w:tr>
        <w:trPr>
          <w:tblHeader/>
        </w:trPr>
        <w:tc>
          <w:tcPr>
            <w:tcW w:type="dxa" w:w="3400"/>
            <w:shd w:fill="DEEAF6" w:color="auto" w:val="clear"/>
            <w:tcMar>
              <w:top w:type="dxa" w:w="60"/>
              <w:left w:type="dxa" w:w="100"/>
              <w:bottom w:type="dxa" w:w="60"/>
              <w:right w:type="dxa" w:w="100"/>
            </w:tcMar>
          </w:tcPr>
          <w:p>
            <w:pPr>
              <w:spacing w:after="0"/>
            </w:pPr>
            <w:r>
              <w:rPr>
                <w:b/>
                <w:bCs/>
                <w:sz w:val="19"/>
                <w:szCs w:val="19"/>
              </w:rPr>
              <w:t xml:space="preserve">Concept</w:t>
            </w:r>
          </w:p>
        </w:tc>
        <w:tc>
          <w:tcPr>
            <w:tcW w:type="dxa" w:w="3600"/>
            <w:shd w:fill="DEEAF6" w:color="auto" w:val="clear"/>
            <w:tcMar>
              <w:top w:type="dxa" w:w="60"/>
              <w:left w:type="dxa" w:w="100"/>
              <w:bottom w:type="dxa" w:w="60"/>
              <w:right w:type="dxa" w:w="100"/>
            </w:tcMar>
          </w:tcPr>
          <w:p>
            <w:pPr>
              <w:spacing w:after="0"/>
            </w:pPr>
            <w:r>
              <w:rPr>
                <w:b/>
                <w:bCs/>
                <w:sz w:val="19"/>
                <w:szCs w:val="19"/>
              </w:rPr>
              <w:t xml:space="preserve">Formula</w:t>
            </w:r>
          </w:p>
        </w:tc>
        <w:tc>
          <w:tcPr>
            <w:tcW w:type="dxa" w:w="2638"/>
            <w:shd w:fill="DEEAF6" w:color="auto" w:val="clear"/>
            <w:tcMar>
              <w:top w:type="dxa" w:w="60"/>
              <w:left w:type="dxa" w:w="100"/>
              <w:bottom w:type="dxa" w:w="60"/>
              <w:right w:type="dxa" w:w="100"/>
            </w:tcMar>
          </w:tcPr>
          <w:p>
            <w:pPr>
              <w:spacing w:after="0"/>
            </w:pPr>
            <w:r>
              <w:rPr>
                <w:b/>
                <w:bCs/>
                <w:sz w:val="19"/>
                <w:szCs w:val="19"/>
              </w:rPr>
              <w:t xml:space="preserve">Note</w:t>
            </w:r>
          </w:p>
        </w:tc>
      </w:tr>
      <w:tr>
        <w:trPr>
          <w:tblHeader w:val="false"/>
        </w:trPr>
        <w:tc>
          <w:tcPr>
            <w:tcW w:type="dxa" w:w="3400"/>
            <w:tcMar>
              <w:top w:type="dxa" w:w="60"/>
              <w:left w:type="dxa" w:w="100"/>
              <w:bottom w:type="dxa" w:w="60"/>
              <w:right w:type="dxa" w:w="100"/>
            </w:tcMar>
          </w:tcPr>
          <w:p>
            <w:pPr>
              <w:spacing w:after="0"/>
            </w:pPr>
            <w:r>
              <w:rPr>
                <w:b/>
                <w:bCs/>
                <w:sz w:val="19"/>
                <w:szCs w:val="19"/>
              </w:rPr>
              <w:t xml:space="preserve">Earnings</w:t>
            </w:r>
          </w:p>
        </w:tc>
        <w:tc>
          <w:tcPr>
            <w:tcW w:type="dxa" w:w="3600"/>
            <w:tcMar>
              <w:top w:type="dxa" w:w="60"/>
              <w:left w:type="dxa" w:w="100"/>
              <w:bottom w:type="dxa" w:w="60"/>
              <w:right w:type="dxa" w:w="100"/>
            </w:tcMar>
          </w:tcPr>
          <w:p>
            <w:pPr>
              <w:spacing w:after="0"/>
            </w:pPr>
            <w:r>
              <w:rPr>
                <w:rFonts w:ascii="Cambria Math" w:cs="Cambria Math" w:eastAsia="Cambria Math" w:hAnsi="Cambria Math"/>
                <w:b w:val="false"/>
                <w:bCs w:val="false"/>
                <w:sz w:val="19"/>
                <w:szCs w:val="19"/>
              </w:rPr>
              <w:t xml:space="preserve">E = w(T - L)</w:t>
            </w:r>
          </w:p>
        </w:tc>
        <w:tc>
          <w:tcPr>
            <w:tcW w:type="dxa" w:w="2638"/>
            <w:tcMar>
              <w:top w:type="dxa" w:w="60"/>
              <w:left w:type="dxa" w:w="100"/>
              <w:bottom w:type="dxa" w:w="60"/>
              <w:right w:type="dxa" w:w="100"/>
            </w:tcMar>
          </w:tcPr>
          <w:p>
            <w:pPr>
              <w:spacing w:after="0"/>
            </w:pPr>
            <w:r>
              <w:rPr>
                <w:b w:val="false"/>
                <w:bCs w:val="false"/>
                <w:sz w:val="19"/>
                <w:szCs w:val="19"/>
              </w:rPr>
              <w:t xml:space="preserve">L is leisure</w:t>
            </w:r>
          </w:p>
        </w:tc>
      </w:tr>
      <w:tr>
        <w:trPr>
          <w:tblHeader w:val="false"/>
        </w:trPr>
        <w:tc>
          <w:tcPr>
            <w:tcW w:type="dxa" w:w="3400"/>
            <w:tcMar>
              <w:top w:type="dxa" w:w="60"/>
              <w:left w:type="dxa" w:w="100"/>
              <w:bottom w:type="dxa" w:w="60"/>
              <w:right w:type="dxa" w:w="100"/>
            </w:tcMar>
          </w:tcPr>
          <w:p>
            <w:pPr>
              <w:spacing w:after="0"/>
            </w:pPr>
            <w:r>
              <w:rPr>
                <w:b/>
                <w:bCs/>
                <w:sz w:val="19"/>
                <w:szCs w:val="19"/>
              </w:rPr>
              <w:t xml:space="preserve">Benefit</w:t>
            </w:r>
          </w:p>
        </w:tc>
        <w:tc>
          <w:tcPr>
            <w:tcW w:type="dxa" w:w="3600"/>
            <w:tcMar>
              <w:top w:type="dxa" w:w="60"/>
              <w:left w:type="dxa" w:w="100"/>
              <w:bottom w:type="dxa" w:w="60"/>
              <w:right w:type="dxa" w:w="100"/>
            </w:tcMar>
          </w:tcPr>
          <w:p>
            <w:pPr>
              <w:spacing w:after="0"/>
            </w:pPr>
            <w:r>
              <w:rPr>
                <w:rFonts w:ascii="Cambria Math" w:cs="Cambria Math" w:eastAsia="Cambria Math" w:hAnsi="Cambria Math"/>
                <w:b w:val="false"/>
                <w:bCs w:val="false"/>
                <w:sz w:val="19"/>
                <w:szCs w:val="19"/>
              </w:rPr>
              <w:t xml:space="preserve">B = G - tE</w:t>
            </w:r>
          </w:p>
        </w:tc>
        <w:tc>
          <w:tcPr>
            <w:tcW w:type="dxa" w:w="2638"/>
            <w:tcMar>
              <w:top w:type="dxa" w:w="60"/>
              <w:left w:type="dxa" w:w="100"/>
              <w:bottom w:type="dxa" w:w="60"/>
              <w:right w:type="dxa" w:w="100"/>
            </w:tcMar>
          </w:tcPr>
          <w:p>
            <w:pPr>
              <w:spacing w:after="0"/>
            </w:pPr>
            <w:r>
              <w:rPr>
                <w:b w:val="false"/>
                <w:bCs w:val="false"/>
                <w:sz w:val="19"/>
                <w:szCs w:val="19"/>
              </w:rPr>
              <w:t xml:space="preserve">zero once E &gt;= G/t</w:t>
            </w:r>
          </w:p>
        </w:tc>
      </w:tr>
      <w:tr>
        <w:trPr>
          <w:tblHeader w:val="false"/>
        </w:trPr>
        <w:tc>
          <w:tcPr>
            <w:tcW w:type="dxa" w:w="3400"/>
            <w:tcMar>
              <w:top w:type="dxa" w:w="60"/>
              <w:left w:type="dxa" w:w="100"/>
              <w:bottom w:type="dxa" w:w="60"/>
              <w:right w:type="dxa" w:w="100"/>
            </w:tcMar>
          </w:tcPr>
          <w:p>
            <w:pPr>
              <w:spacing w:after="0"/>
            </w:pPr>
            <w:r>
              <w:rPr>
                <w:b/>
                <w:bCs/>
                <w:sz w:val="19"/>
                <w:szCs w:val="19"/>
              </w:rPr>
              <w:t xml:space="preserve">Income with program</w:t>
            </w:r>
          </w:p>
        </w:tc>
        <w:tc>
          <w:tcPr>
            <w:tcW w:type="dxa" w:w="3600"/>
            <w:tcMar>
              <w:top w:type="dxa" w:w="60"/>
              <w:left w:type="dxa" w:w="100"/>
              <w:bottom w:type="dxa" w:w="60"/>
              <w:right w:type="dxa" w:w="100"/>
            </w:tcMar>
          </w:tcPr>
          <w:p>
            <w:pPr>
              <w:spacing w:after="0"/>
            </w:pPr>
            <w:r>
              <w:rPr>
                <w:rFonts w:ascii="Cambria Math" w:cs="Cambria Math" w:eastAsia="Cambria Math" w:hAnsi="Cambria Math"/>
                <w:b w:val="false"/>
                <w:bCs w:val="false"/>
                <w:sz w:val="19"/>
                <w:szCs w:val="19"/>
              </w:rPr>
              <w:t xml:space="preserve">y = G + (1 - t)E</w:t>
            </w:r>
          </w:p>
        </w:tc>
        <w:tc>
          <w:tcPr>
            <w:tcW w:type="dxa" w:w="2638"/>
            <w:tcMar>
              <w:top w:type="dxa" w:w="60"/>
              <w:left w:type="dxa" w:w="100"/>
              <w:bottom w:type="dxa" w:w="60"/>
              <w:right w:type="dxa" w:w="100"/>
            </w:tcMar>
          </w:tcPr>
          <w:p>
            <w:pPr>
              <w:spacing w:after="0"/>
            </w:pPr>
            <w:r>
              <w:rPr>
                <w:b w:val="false"/>
                <w:bCs w:val="false"/>
                <w:sz w:val="19"/>
                <w:szCs w:val="19"/>
              </w:rPr>
              <w:t xml:space="preserve">the budget constraint</w:t>
            </w:r>
          </w:p>
        </w:tc>
      </w:tr>
      <w:tr>
        <w:trPr>
          <w:tblHeader w:val="false"/>
        </w:trPr>
        <w:tc>
          <w:tcPr>
            <w:tcW w:type="dxa" w:w="3400"/>
            <w:tcMar>
              <w:top w:type="dxa" w:w="60"/>
              <w:left w:type="dxa" w:w="100"/>
              <w:bottom w:type="dxa" w:w="60"/>
              <w:right w:type="dxa" w:w="100"/>
            </w:tcMar>
          </w:tcPr>
          <w:p>
            <w:pPr>
              <w:spacing w:after="0"/>
            </w:pPr>
            <w:r>
              <w:rPr>
                <w:b/>
                <w:bCs/>
                <w:sz w:val="19"/>
                <w:szCs w:val="19"/>
              </w:rPr>
              <w:t xml:space="preserve">Slope on benefit</w:t>
            </w:r>
          </w:p>
        </w:tc>
        <w:tc>
          <w:tcPr>
            <w:tcW w:type="dxa" w:w="3600"/>
            <w:tcMar>
              <w:top w:type="dxa" w:w="60"/>
              <w:left w:type="dxa" w:w="100"/>
              <w:bottom w:type="dxa" w:w="60"/>
              <w:right w:type="dxa" w:w="100"/>
            </w:tcMar>
          </w:tcPr>
          <w:p>
            <w:pPr>
              <w:spacing w:after="0"/>
            </w:pPr>
            <w:r>
              <w:rPr>
                <w:rFonts w:ascii="Cambria Math" w:cs="Cambria Math" w:eastAsia="Cambria Math" w:hAnsi="Cambria Math"/>
                <w:b w:val="false"/>
                <w:bCs w:val="false"/>
                <w:sz w:val="19"/>
                <w:szCs w:val="19"/>
              </w:rPr>
              <w:t xml:space="preserve">(1 - t)w</w:t>
            </w:r>
          </w:p>
        </w:tc>
        <w:tc>
          <w:tcPr>
            <w:tcW w:type="dxa" w:w="2638"/>
            <w:tcMar>
              <w:top w:type="dxa" w:w="60"/>
              <w:left w:type="dxa" w:w="100"/>
              <w:bottom w:type="dxa" w:w="60"/>
              <w:right w:type="dxa" w:w="100"/>
            </w:tcMar>
          </w:tcPr>
          <w:p>
            <w:pPr>
              <w:spacing w:after="0"/>
            </w:pPr>
            <w:r>
              <w:rPr>
                <w:b w:val="false"/>
                <w:bCs w:val="false"/>
                <w:sz w:val="19"/>
                <w:szCs w:val="19"/>
              </w:rPr>
              <w:t xml:space="preserve">what you keep per hour</w:t>
            </w:r>
          </w:p>
        </w:tc>
      </w:tr>
      <w:tr>
        <w:trPr>
          <w:tblHeader w:val="false"/>
        </w:trPr>
        <w:tc>
          <w:tcPr>
            <w:tcW w:type="dxa" w:w="3400"/>
            <w:tcMar>
              <w:top w:type="dxa" w:w="60"/>
              <w:left w:type="dxa" w:w="100"/>
              <w:bottom w:type="dxa" w:w="60"/>
              <w:right w:type="dxa" w:w="100"/>
            </w:tcMar>
          </w:tcPr>
          <w:p>
            <w:pPr>
              <w:spacing w:after="0"/>
            </w:pPr>
            <w:r>
              <w:rPr>
                <w:b/>
                <w:bCs/>
                <w:sz w:val="19"/>
                <w:szCs w:val="19"/>
              </w:rPr>
              <w:t xml:space="preserve">Break-even earnings</w:t>
            </w:r>
          </w:p>
        </w:tc>
        <w:tc>
          <w:tcPr>
            <w:tcW w:type="dxa" w:w="3600"/>
            <w:tcMar>
              <w:top w:type="dxa" w:w="60"/>
              <w:left w:type="dxa" w:w="100"/>
              <w:bottom w:type="dxa" w:w="60"/>
              <w:right w:type="dxa" w:w="100"/>
            </w:tcMar>
          </w:tcPr>
          <w:p>
            <w:pPr>
              <w:spacing w:after="0"/>
            </w:pPr>
            <w:r>
              <w:rPr>
                <w:rFonts w:ascii="Cambria Math" w:cs="Cambria Math" w:eastAsia="Cambria Math" w:hAnsi="Cambria Math"/>
                <w:b w:val="false"/>
                <w:bCs w:val="false"/>
                <w:sz w:val="19"/>
                <w:szCs w:val="19"/>
              </w:rPr>
              <w:t xml:space="preserve">E = G/t</w:t>
            </w:r>
          </w:p>
        </w:tc>
        <w:tc>
          <w:tcPr>
            <w:tcW w:type="dxa" w:w="2638"/>
            <w:tcMar>
              <w:top w:type="dxa" w:w="60"/>
              <w:left w:type="dxa" w:w="100"/>
              <w:bottom w:type="dxa" w:w="60"/>
              <w:right w:type="dxa" w:w="100"/>
            </w:tcMar>
          </w:tcPr>
          <w:p>
            <w:pPr>
              <w:spacing w:after="0"/>
            </w:pPr>
            <w:r>
              <w:rPr>
                <w:b w:val="false"/>
                <w:bCs w:val="false"/>
                <w:sz w:val="19"/>
                <w:szCs w:val="19"/>
              </w:rPr>
              <w:t xml:space="preserve">income there is also G/t</w:t>
            </w:r>
          </w:p>
        </w:tc>
      </w:tr>
      <w:tr>
        <w:trPr>
          <w:tblHeader w:val="false"/>
        </w:trPr>
        <w:tc>
          <w:tcPr>
            <w:tcW w:type="dxa" w:w="3400"/>
            <w:tcMar>
              <w:top w:type="dxa" w:w="60"/>
              <w:left w:type="dxa" w:w="100"/>
              <w:bottom w:type="dxa" w:w="60"/>
              <w:right w:type="dxa" w:w="100"/>
            </w:tcMar>
          </w:tcPr>
          <w:p>
            <w:pPr>
              <w:spacing w:after="0"/>
            </w:pPr>
            <w:r>
              <w:rPr>
                <w:b/>
                <w:bCs/>
                <w:sz w:val="19"/>
                <w:szCs w:val="19"/>
              </w:rPr>
              <w:t xml:space="preserve">Break-even leisure</w:t>
            </w:r>
          </w:p>
        </w:tc>
        <w:tc>
          <w:tcPr>
            <w:tcW w:type="dxa" w:w="3600"/>
            <w:tcMar>
              <w:top w:type="dxa" w:w="60"/>
              <w:left w:type="dxa" w:w="100"/>
              <w:bottom w:type="dxa" w:w="60"/>
              <w:right w:type="dxa" w:w="100"/>
            </w:tcMar>
          </w:tcPr>
          <w:p>
            <w:pPr>
              <w:spacing w:after="0"/>
            </w:pPr>
            <w:r>
              <w:rPr>
                <w:rFonts w:ascii="Cambria Math" w:cs="Cambria Math" w:eastAsia="Cambria Math" w:hAnsi="Cambria Math"/>
                <w:b w:val="false"/>
                <w:bCs w:val="false"/>
                <w:sz w:val="19"/>
                <w:szCs w:val="19"/>
              </w:rPr>
              <w:t xml:space="preserve">H = T - G/(tw)</w:t>
            </w:r>
          </w:p>
        </w:tc>
        <w:tc>
          <w:tcPr>
            <w:tcW w:type="dxa" w:w="2638"/>
            <w:tcMar>
              <w:top w:type="dxa" w:w="60"/>
              <w:left w:type="dxa" w:w="100"/>
              <w:bottom w:type="dxa" w:w="60"/>
              <w:right w:type="dxa" w:w="100"/>
            </w:tcMar>
          </w:tcPr>
          <w:p>
            <w:pPr>
              <w:spacing w:after="0"/>
            </w:pPr>
            <w:r>
              <w:rPr>
                <w:b w:val="false"/>
                <w:bCs w:val="false"/>
                <w:sz w:val="19"/>
                <w:szCs w:val="19"/>
              </w:rPr>
              <w:t xml:space="preserve">the kink</w:t>
            </w:r>
          </w:p>
        </w:tc>
      </w:tr>
      <w:tr>
        <w:trPr>
          <w:tblHeader w:val="false"/>
        </w:trPr>
        <w:tc>
          <w:tcPr>
            <w:tcW w:type="dxa" w:w="3400"/>
            <w:tcMar>
              <w:top w:type="dxa" w:w="60"/>
              <w:left w:type="dxa" w:w="100"/>
              <w:bottom w:type="dxa" w:w="60"/>
              <w:right w:type="dxa" w:w="100"/>
            </w:tcMar>
          </w:tcPr>
          <w:p>
            <w:pPr>
              <w:spacing w:after="0"/>
            </w:pPr>
            <w:r>
              <w:rPr>
                <w:b/>
                <w:bCs/>
                <w:sz w:val="19"/>
                <w:szCs w:val="19"/>
              </w:rPr>
              <w:t xml:space="preserve">Efficient choice</w:t>
            </w:r>
          </w:p>
        </w:tc>
        <w:tc>
          <w:tcPr>
            <w:tcW w:type="dxa" w:w="3600"/>
            <w:tcMar>
              <w:top w:type="dxa" w:w="60"/>
              <w:left w:type="dxa" w:w="100"/>
              <w:bottom w:type="dxa" w:w="60"/>
              <w:right w:type="dxa" w:w="100"/>
            </w:tcMar>
          </w:tcPr>
          <w:p>
            <w:pPr>
              <w:spacing w:after="0"/>
            </w:pPr>
            <w:r>
              <w:rPr>
                <w:rFonts w:ascii="Cambria Math" w:cs="Cambria Math" w:eastAsia="Cambria Math" w:hAnsi="Cambria Math"/>
                <w:b w:val="false"/>
                <w:bCs w:val="false"/>
                <w:sz w:val="19"/>
                <w:szCs w:val="19"/>
              </w:rPr>
              <w:t xml:space="preserve">MRS = w</w:t>
            </w:r>
          </w:p>
        </w:tc>
        <w:tc>
          <w:tcPr>
            <w:tcW w:type="dxa" w:w="2638"/>
            <w:tcMar>
              <w:top w:type="dxa" w:w="60"/>
              <w:left w:type="dxa" w:w="100"/>
              <w:bottom w:type="dxa" w:w="60"/>
              <w:right w:type="dxa" w:w="100"/>
            </w:tcMar>
          </w:tcPr>
          <w:p>
            <w:pPr>
              <w:spacing w:after="0"/>
            </w:pPr>
            <w:r>
              <w:rPr>
                <w:b w:val="false"/>
                <w:bCs w:val="false"/>
                <w:sz w:val="19"/>
                <w:szCs w:val="19"/>
              </w:rPr>
              <w:t xml:space="preserve">no program</w:t>
            </w:r>
          </w:p>
        </w:tc>
      </w:tr>
      <w:tr>
        <w:trPr>
          <w:tblHeader w:val="false"/>
        </w:trPr>
        <w:tc>
          <w:tcPr>
            <w:tcW w:type="dxa" w:w="3400"/>
            <w:tcMar>
              <w:top w:type="dxa" w:w="60"/>
              <w:left w:type="dxa" w:w="100"/>
              <w:bottom w:type="dxa" w:w="60"/>
              <w:right w:type="dxa" w:w="100"/>
            </w:tcMar>
          </w:tcPr>
          <w:p>
            <w:pPr>
              <w:spacing w:after="0"/>
            </w:pPr>
            <w:r>
              <w:rPr>
                <w:b/>
                <w:bCs/>
                <w:sz w:val="19"/>
                <w:szCs w:val="19"/>
              </w:rPr>
              <w:t xml:space="preserve">Distorted choice</w:t>
            </w:r>
          </w:p>
        </w:tc>
        <w:tc>
          <w:tcPr>
            <w:tcW w:type="dxa" w:w="3600"/>
            <w:tcMar>
              <w:top w:type="dxa" w:w="60"/>
              <w:left w:type="dxa" w:w="100"/>
              <w:bottom w:type="dxa" w:w="60"/>
              <w:right w:type="dxa" w:w="100"/>
            </w:tcMar>
          </w:tcPr>
          <w:p>
            <w:pPr>
              <w:spacing w:after="0"/>
            </w:pPr>
            <w:r>
              <w:rPr>
                <w:rFonts w:ascii="Cambria Math" w:cs="Cambria Math" w:eastAsia="Cambria Math" w:hAnsi="Cambria Math"/>
                <w:b w:val="false"/>
                <w:bCs w:val="false"/>
                <w:sz w:val="19"/>
                <w:szCs w:val="19"/>
              </w:rPr>
              <w:t xml:space="preserve">MRS = (1 - t)w</w:t>
            </w:r>
          </w:p>
        </w:tc>
        <w:tc>
          <w:tcPr>
            <w:tcW w:type="dxa" w:w="2638"/>
            <w:tcMar>
              <w:top w:type="dxa" w:w="60"/>
              <w:left w:type="dxa" w:w="100"/>
              <w:bottom w:type="dxa" w:w="60"/>
              <w:right w:type="dxa" w:w="100"/>
            </w:tcMar>
          </w:tcPr>
          <w:p>
            <w:pPr>
              <w:spacing w:after="0"/>
            </w:pPr>
            <w:r>
              <w:rPr>
                <w:b w:val="false"/>
                <w:bCs w:val="false"/>
                <w:sz w:val="19"/>
                <w:szCs w:val="19"/>
              </w:rPr>
              <w:t xml:space="preserve">with the taper</w:t>
            </w:r>
          </w:p>
        </w:tc>
      </w:tr>
      <w:tr>
        <w:trPr>
          <w:tblHeader w:val="false"/>
        </w:trPr>
        <w:tc>
          <w:tcPr>
            <w:tcW w:type="dxa" w:w="3400"/>
            <w:tcMar>
              <w:top w:type="dxa" w:w="60"/>
              <w:left w:type="dxa" w:w="100"/>
              <w:bottom w:type="dxa" w:w="60"/>
              <w:right w:type="dxa" w:w="100"/>
            </w:tcMar>
          </w:tcPr>
          <w:p>
            <w:pPr>
              <w:spacing w:after="0"/>
            </w:pPr>
            <w:r>
              <w:rPr>
                <w:b/>
                <w:bCs/>
                <w:sz w:val="19"/>
                <w:szCs w:val="19"/>
              </w:rPr>
              <w:t xml:space="preserve">Optimal redistribution</w:t>
            </w:r>
          </w:p>
        </w:tc>
        <w:tc>
          <w:tcPr>
            <w:tcW w:type="dxa" w:w="3600"/>
            <w:tcMar>
              <w:top w:type="dxa" w:w="60"/>
              <w:left w:type="dxa" w:w="100"/>
              <w:bottom w:type="dxa" w:w="60"/>
              <w:right w:type="dxa" w:w="100"/>
            </w:tcMar>
          </w:tcPr>
          <w:p>
            <w:pPr>
              <w:spacing w:after="0"/>
            </w:pPr>
            <w:r>
              <w:rPr>
                <w:rFonts w:ascii="Cambria Math" w:cs="Cambria Math" w:eastAsia="Cambria Math" w:hAnsi="Cambria Math"/>
                <w:b w:val="false"/>
                <w:bCs w:val="false"/>
                <w:sz w:val="19"/>
                <w:szCs w:val="19"/>
              </w:rPr>
              <w:t xml:space="preserve">MU1(I1) = ... = MUn(In)</w:t>
            </w:r>
          </w:p>
        </w:tc>
        <w:tc>
          <w:tcPr>
            <w:tcW w:type="dxa" w:w="2638"/>
            <w:tcMar>
              <w:top w:type="dxa" w:w="60"/>
              <w:left w:type="dxa" w:w="100"/>
              <w:bottom w:type="dxa" w:w="60"/>
              <w:right w:type="dxa" w:w="100"/>
            </w:tcMar>
          </w:tcPr>
          <w:p>
            <w:pPr>
              <w:spacing w:after="0"/>
            </w:pPr>
            <w:r>
              <w:rPr>
                <w:b w:val="false"/>
                <w:bCs w:val="false"/>
                <w:sz w:val="19"/>
                <w:szCs w:val="19"/>
              </w:rPr>
              <w:t xml:space="preserve">additive SWF, fixed total income</w:t>
            </w:r>
          </w:p>
        </w:tc>
      </w:tr>
    </w:tbl>
    <w:p>
      <w:pPr>
        <w:spacing w:after="170" w:line="276"/>
      </w:pPr>
    </w:p>
    <w:p>
      <w:pPr>
        <w:pStyle w:val="Heading1"/>
        <w:keepNext/>
        <w:spacing w:after="140" w:before="380"/>
      </w:pPr>
      <w:r>
        <w:rPr>
          <w:b/>
          <w:bCs/>
          <w:color w:val="1F3864"/>
          <w:sz w:val="30"/>
          <w:szCs w:val="30"/>
        </w:rPr>
        <w:t xml:space="preserve">Exam checklist</w:t>
      </w:r>
    </w:p>
    <w:p>
      <w:pPr>
        <w:pStyle w:val="ListParagraph"/>
        <w:numPr>
          <w:ilvl w:val="0"/>
          <w:numId w:val="2"/>
        </w:numPr>
        <w:spacing w:after="70" w:line="276"/>
      </w:pPr>
      <w:r>
        <w:t xml:space="preserve">Know </w:t>
      </w:r>
      <w:r>
        <w:rPr>
          <w:b/>
          <w:bCs/>
        </w:rPr>
        <w:t xml:space="preserve">which</w:t>
      </w:r>
      <w:r>
        <w:t xml:space="preserve"> market failures justify public redistribution, and be able to name them: public good plus free riding, poverty externalities, asymmetric information in poverty insurance, paternalism.</w:t>
      </w:r>
    </w:p>
    <w:p>
      <w:pPr>
        <w:pStyle w:val="ListParagraph"/>
        <w:numPr>
          <w:ilvl w:val="0"/>
          <w:numId w:val="2"/>
        </w:numPr>
        <w:spacing w:after="70" w:line="276"/>
      </w:pPr>
      <w:r>
        <w:t xml:space="preserve">Be able to </w:t>
      </w:r>
      <w:r>
        <w:rPr>
          <w:b/>
          <w:bCs/>
        </w:rPr>
        <w:t xml:space="preserve">draw</w:t>
      </w:r>
      <w:r>
        <w:t xml:space="preserve"> the budget constraint with G and t, label T, wT, G, H and G/t, and explain both slopes.</w:t>
      </w:r>
    </w:p>
    <w:p>
      <w:pPr>
        <w:pStyle w:val="ListParagraph"/>
        <w:numPr>
          <w:ilvl w:val="0"/>
          <w:numId w:val="2"/>
        </w:numPr>
        <w:spacing w:after="70" w:line="276"/>
      </w:pPr>
      <w:r>
        <w:t xml:space="preserve">Derive H = T - G/(tw) and the break-even income G/t rather than memorising them.</w:t>
      </w:r>
    </w:p>
    <w:p>
      <w:pPr>
        <w:pStyle w:val="ListParagraph"/>
        <w:numPr>
          <w:ilvl w:val="0"/>
          <w:numId w:val="2"/>
        </w:numPr>
        <w:spacing w:after="70" w:line="276"/>
      </w:pPr>
      <w:r>
        <w:t xml:space="preserve">Explain why </w:t>
      </w:r>
      <w:r>
        <w:rPr>
          <w:b/>
          <w:bCs/>
        </w:rPr>
        <w:t xml:space="preserve">both</w:t>
      </w:r>
      <w:r>
        <w:t xml:space="preserve"> income and substitution effects reduce hours worked here.</w:t>
      </w:r>
    </w:p>
    <w:p>
      <w:pPr>
        <w:pStyle w:val="ListParagraph"/>
        <w:numPr>
          <w:ilvl w:val="0"/>
          <w:numId w:val="2"/>
        </w:numPr>
        <w:spacing w:after="70" w:line="276"/>
      </w:pPr>
      <w:r>
        <w:t xml:space="preserve">State the inefficiency precisely: MRS = (1 - t)w for the individual while marginal productivity is w.</w:t>
      </w:r>
    </w:p>
    <w:p>
      <w:pPr>
        <w:pStyle w:val="ListParagraph"/>
        <w:numPr>
          <w:ilvl w:val="0"/>
          <w:numId w:val="2"/>
        </w:numPr>
        <w:spacing w:after="70" w:line="276"/>
      </w:pPr>
      <w:r>
        <w:t xml:space="preserve">Be able to compare a means-tested transfer with a </w:t>
      </w:r>
      <w:r>
        <w:rPr>
          <w:b/>
          <w:bCs/>
        </w:rPr>
        <w:t xml:space="preserve">lump-sum transfer of the same cost</w:t>
      </w:r>
      <w:r>
        <w:t xml:space="preserve">, and say why only the first has a deadweight loss.</w:t>
      </w:r>
    </w:p>
    <w:p>
      <w:pPr>
        <w:pStyle w:val="ListParagraph"/>
        <w:numPr>
          <w:ilvl w:val="0"/>
          <w:numId w:val="2"/>
        </w:numPr>
        <w:spacing w:after="70" w:line="276"/>
      </w:pPr>
      <w:r>
        <w:t xml:space="preserve">Remember the policy trilemma: a generous G, a low t and a low budget cost cannot all hold, because the break-even point is G/t.</w:t>
      </w:r>
    </w:p>
    <w:p>
      <w:pPr>
        <w:pStyle w:val="ListParagraph"/>
        <w:numPr>
          <w:ilvl w:val="0"/>
          <w:numId w:val="2"/>
        </w:numPr>
        <w:spacing w:after="70" w:line="276"/>
      </w:pPr>
      <w:r>
        <w:t xml:space="preserve">For the EITC, distinguish the phase-in (negative marginal tax rate, stronger incentive) from the phase-out (high marginal tax rate).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lvl w:ilvl="1" w15:tentative="1">
      <w:start w:val="1"/>
      <w:numFmt w:val="bullet"/>
      <w:lvlText w:val="◦"/>
      <w:lvlJc w:val="left"/>
      <w:pPr>
        <w:ind w:left="1000"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2c1a862c1cf5cc5c3382d704ac8e32237ecb7dc.png"/><Relationship Id="rId8" Type="http://schemas.openxmlformats.org/officeDocument/2006/relationships/image" Target="media/ef076d74361bda604b7b7d0cc7ad9250e064b12e.png"/><Relationship Id="rId9" Type="http://schemas.openxmlformats.org/officeDocument/2006/relationships/image" Target="media/5b671f1b7cf7dc92f490dac860e110c9f43afcc6.png"/><Relationship Id="rId10" Type="http://schemas.openxmlformats.org/officeDocument/2006/relationships/image" Target="media/f7d034206c011e6e02a689a456c27b1d006c1dd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Applied Microeconomics Week 4 — Redistribution</dc:title>
  <dc:creator>Maxim</dc:creator>
  <cp:lastModifiedBy>Un-named</cp:lastModifiedBy>
  <cp:revision>1</cp:revision>
  <dcterms:created xsi:type="dcterms:W3CDTF">2026-09-26T13:15:17.401Z</dcterms:created>
  <dcterms:modified xsi:type="dcterms:W3CDTF">2026-09-26T13:15:17.403Z</dcterms:modified>
</cp:coreProperties>
</file>

<file path=docProps/custom.xml><?xml version="1.0" encoding="utf-8"?>
<Properties xmlns="http://schemas.openxmlformats.org/officeDocument/2006/custom-properties" xmlns:vt="http://schemas.openxmlformats.org/officeDocument/2006/docPropsVTypes"/>
</file>