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8"/>
          <w:szCs w:val="38"/>
        </w:rPr>
        <w:t xml:space="preserve">Applied Microeconomics — Week 5</w:t>
      </w:r>
    </w:p>
    <w:p>
      <w:pPr>
        <w:pBdr>
          <w:bottom w:val="single" w:color="1F3864" w:sz="12" w:space="6"/>
        </w:pBdr>
        <w:spacing w:after="200"/>
      </w:pPr>
      <w:r>
        <w:rPr>
          <w:color w:val="595959"/>
          <w:sz w:val="24"/>
          <w:szCs w:val="24"/>
        </w:rPr>
        <w:t xml:space="preserve">Taxation: incidence and efficiency — plus Pigouvian taxes and subsidies</w:t>
      </w:r>
    </w:p>
    <w:p>
      <w:pPr>
        <w:spacing w:after="180" w:line="276"/>
      </w:pPr>
      <w:r>
        <w:rPr>
          <w:color w:val="7A8A86"/>
          <w:sz w:val="19"/>
          <w:szCs w:val="19"/>
        </w:rPr>
        <w:t xml:space="preserve">_Summary of Lecture 5 (Delfgaauw), Public Economics, with worked examples from Practicum 5. Slide numbers in brackets. Section 7 on Pigouvian taxes and subsidies draws on Lecture 2 and Practicum 2._</w:t>
      </w:r>
    </w:p>
    <w:p>
      <w:pPr>
        <w:pStyle w:val="Heading1"/>
        <w:keepNext/>
        <w:spacing w:after="140" w:before="380"/>
      </w:pPr>
      <w:r>
        <w:rPr>
          <w:b/>
          <w:bCs/>
          <w:color w:val="1F3864"/>
          <w:sz w:val="30"/>
          <w:szCs w:val="30"/>
        </w:rPr>
        <w:t xml:space="preserve">The two questions</w:t>
      </w:r>
    </w:p>
    <w:p>
      <w:pPr>
        <w:spacing w:after="120" w:line="276"/>
      </w:pPr>
      <w:r>
        <w:t xml:space="preserve">Every tax is evaluated on the same two criteria as every other policy in the course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shd w:fill="DEEAF6" w:color="auto" w:val="clear"/>
            <w:tcMar>
              <w:top w:type="dxa" w:w="60"/>
              <w:left w:type="dxa" w:w="100"/>
              <w:bottom w:type="dxa" w:w="60"/>
              <w:right w:type="dxa" w:w="100"/>
            </w:tcMar>
          </w:tcPr>
          <w:p>
            <w:pPr>
              <w:spacing w:after="0"/>
            </w:pPr>
          </w:p>
        </w:tc>
        <w:tc>
          <w:tcPr>
            <w:tcW w:type="dxa" w:w="3600"/>
            <w:shd w:fill="DEEAF6" w:color="auto" w:val="clear"/>
            <w:tcMar>
              <w:top w:type="dxa" w:w="60"/>
              <w:left w:type="dxa" w:w="100"/>
              <w:bottom w:type="dxa" w:w="60"/>
              <w:right w:type="dxa" w:w="100"/>
            </w:tcMar>
          </w:tcPr>
          <w:p>
            <w:pPr>
              <w:spacing w:after="0"/>
            </w:pPr>
            <w:r>
              <w:rPr>
                <w:b/>
                <w:bCs/>
                <w:sz w:val="19"/>
                <w:szCs w:val="19"/>
              </w:rPr>
              <w:t xml:space="preserve">Question</w:t>
            </w:r>
          </w:p>
        </w:tc>
        <w:tc>
          <w:tcPr>
            <w:tcW w:type="dxa" w:w="4038"/>
            <w:shd w:fill="DEEAF6" w:color="auto" w:val="clear"/>
            <w:tcMar>
              <w:top w:type="dxa" w:w="60"/>
              <w:left w:type="dxa" w:w="100"/>
              <w:bottom w:type="dxa" w:w="60"/>
              <w:right w:type="dxa" w:w="100"/>
            </w:tcMar>
          </w:tcPr>
          <w:p>
            <w:pPr>
              <w:spacing w:after="0"/>
            </w:pPr>
            <w:r>
              <w:rPr>
                <w:b/>
                <w:bCs/>
                <w:sz w:val="19"/>
                <w:szCs w:val="19"/>
              </w:rPr>
              <w:t xml:space="preserve">Short answer</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Incidence</w:t>
            </w:r>
          </w:p>
        </w:tc>
        <w:tc>
          <w:tcPr>
            <w:tcW w:type="dxa" w:w="3600"/>
            <w:tcMar>
              <w:top w:type="dxa" w:w="60"/>
              <w:left w:type="dxa" w:w="100"/>
              <w:bottom w:type="dxa" w:w="60"/>
              <w:right w:type="dxa" w:w="100"/>
            </w:tcMar>
          </w:tcPr>
          <w:p>
            <w:pPr>
              <w:spacing w:after="0"/>
            </w:pPr>
            <w:r>
              <w:rPr>
                <w:b w:val="false"/>
                <w:bCs w:val="false"/>
                <w:sz w:val="19"/>
                <w:szCs w:val="19"/>
              </w:rPr>
              <w:t xml:space="preserve">Who actually bears the tax?</w:t>
            </w:r>
          </w:p>
        </w:tc>
        <w:tc>
          <w:tcPr>
            <w:tcW w:type="dxa" w:w="4038"/>
            <w:tcMar>
              <w:top w:type="dxa" w:w="60"/>
              <w:left w:type="dxa" w:w="100"/>
              <w:bottom w:type="dxa" w:w="60"/>
              <w:right w:type="dxa" w:w="100"/>
            </w:tcMar>
          </w:tcPr>
          <w:p>
            <w:pPr>
              <w:spacing w:after="0"/>
            </w:pPr>
            <w:r>
              <w:rPr>
                <w:b w:val="false"/>
                <w:bCs w:val="false"/>
                <w:sz w:val="19"/>
                <w:szCs w:val="19"/>
              </w:rPr>
              <w:t xml:space="preserve">Whoever is less elastic — regardless of who pays it to the government</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Efficiency</w:t>
            </w:r>
          </w:p>
        </w:tc>
        <w:tc>
          <w:tcPr>
            <w:tcW w:type="dxa" w:w="3600"/>
            <w:tcMar>
              <w:top w:type="dxa" w:w="60"/>
              <w:left w:type="dxa" w:w="100"/>
              <w:bottom w:type="dxa" w:w="60"/>
              <w:right w:type="dxa" w:w="100"/>
            </w:tcMar>
          </w:tcPr>
          <w:p>
            <w:pPr>
              <w:spacing w:after="0"/>
            </w:pPr>
            <w:r>
              <w:rPr>
                <w:b w:val="false"/>
                <w:bCs w:val="false"/>
                <w:sz w:val="19"/>
                <w:szCs w:val="19"/>
              </w:rPr>
              <w:t xml:space="preserve">What does it cost beyond the revenue?</w:t>
            </w:r>
          </w:p>
        </w:tc>
        <w:tc>
          <w:tcPr>
            <w:tcW w:type="dxa" w:w="4038"/>
            <w:tcMar>
              <w:top w:type="dxa" w:w="60"/>
              <w:left w:type="dxa" w:w="100"/>
              <w:bottom w:type="dxa" w:w="60"/>
              <w:right w:type="dxa" w:w="100"/>
            </w:tcMar>
          </w:tcPr>
          <w:p>
            <w:pPr>
              <w:spacing w:after="0"/>
            </w:pPr>
            <w:r>
              <w:rPr>
                <w:b w:val="false"/>
                <w:bCs w:val="false"/>
                <w:sz w:val="19"/>
                <w:szCs w:val="19"/>
              </w:rPr>
              <w:t xml:space="preserve">The excess burden, caused by the substitution effect</w:t>
            </w:r>
          </w:p>
        </w:tc>
      </w:tr>
    </w:tbl>
    <w:p>
      <w:pPr>
        <w:spacing w:after="150" w:line="276"/>
      </w:pPr>
    </w:p>
    <w:p>
      <w:pPr>
        <w:spacing w:after="120" w:line="276"/>
      </w:pPr>
      <w:r>
        <w:t xml:space="preserve">On the distribution side, two ideas of fairness: </w:t>
      </w:r>
      <w:r>
        <w:rPr>
          <w:b/>
          <w:bCs/>
        </w:rPr>
        <w:t xml:space="preserve">horizontal equity</w:t>
      </w:r>
      <w:r>
        <w:t xml:space="preserve"> (equal people pay equal taxes) and </w:t>
      </w:r>
      <w:r>
        <w:rPr>
          <w:b/>
          <w:bCs/>
        </w:rPr>
        <w:t xml:space="preserve">vertical equity</w:t>
      </w:r>
      <w:r>
        <w:t xml:space="preserve"> (those better off pay more).</w:t>
      </w:r>
    </w:p>
    <w:p>
      <w:pPr>
        <w:pStyle w:val="Heading1"/>
        <w:keepNext/>
        <w:spacing w:after="140" w:before="380"/>
      </w:pPr>
      <w:r>
        <w:rPr>
          <w:b/>
          <w:bCs/>
          <w:color w:val="1F3864"/>
          <w:sz w:val="30"/>
          <w:szCs w:val="30"/>
        </w:rPr>
        <w:t xml:space="preserve">1. General remarks</w:t>
      </w:r>
      <w:r>
        <w:rPr>
          <w:color w:val="7A8A86"/>
          <w:sz w:val="18"/>
          <w:szCs w:val="18"/>
        </w:rPr>
        <w:t xml:space="preserve">   slides 5–10</w:t>
      </w:r>
    </w:p>
    <w:p>
      <w:pPr>
        <w:pStyle w:val="ListParagraph"/>
        <w:numPr>
          <w:ilvl w:val="0"/>
          <w:numId w:val="2"/>
        </w:numPr>
        <w:spacing w:after="70" w:line="276"/>
      </w:pPr>
      <w:r>
        <w:rPr>
          <w:b/>
          <w:bCs/>
        </w:rPr>
        <w:t xml:space="preserve">Only people bear taxes.</w:t>
      </w:r>
      <w:r>
        <w:t xml:space="preserve"> A tax on 'firms' or 'capital' is ultimately paid by owners, workers or customers.</w:t>
      </w:r>
    </w:p>
    <w:p>
      <w:pPr>
        <w:pStyle w:val="ListParagraph"/>
        <w:numPr>
          <w:ilvl w:val="0"/>
          <w:numId w:val="2"/>
        </w:numPr>
        <w:spacing w:after="70" w:line="276"/>
      </w:pPr>
      <w:r>
        <w:rPr>
          <w:b/>
          <w:bCs/>
        </w:rPr>
        <w:t xml:space="preserve">Unit vs ad valorem.</w:t>
      </w:r>
      <w:r>
        <w:t xml:space="preserve"> A unit tax (excise) is a fixed amount per unit; an ad valorem tax (VAT) is a percentage of the price.</w:t>
      </w:r>
    </w:p>
    <w:p>
      <w:pPr>
        <w:pStyle w:val="ListParagraph"/>
        <w:numPr>
          <w:ilvl w:val="0"/>
          <w:numId w:val="2"/>
        </w:numPr>
        <w:spacing w:after="70" w:line="276"/>
      </w:pPr>
      <w:r>
        <w:rPr>
          <w:b/>
          <w:bCs/>
        </w:rPr>
        <w:t xml:space="preserve">Average vs marginal rate.</w:t>
      </w:r>
      <w:r>
        <w:t xml:space="preserve"> With T = 0.25(Y − 5000) and Y = 25,000: tax = 5,000, average rate 20%, marginal rate 25%.</w:t>
      </w:r>
    </w:p>
    <w:p>
      <w:pPr>
        <w:pStyle w:val="ListParagraph"/>
        <w:numPr>
          <w:ilvl w:val="0"/>
          <w:numId w:val="2"/>
        </w:numPr>
        <w:spacing w:after="70" w:line="276"/>
      </w:pPr>
      <w:r>
        <w:rPr>
          <w:b/>
          <w:bCs/>
        </w:rPr>
        <w:t xml:space="preserve">Progressivity is measured by the average tax rate.</w:t>
      </w:r>
      <w:r>
        <w:t xml:space="preserve"> Rising in income: progressive. Falling: regressive. Constant: proportional.</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T = a + tI  →  ATR = a/I + t  →  dATR/dI = −a/I²</w:t>
      </w:r>
      <w:r>
        <w:br/>
      </w:r>
      <w:r>
        <w:rPr>
          <w:rFonts w:ascii="Cambria Math" w:cs="Cambria Math" w:eastAsia="Cambria Math" w:hAnsi="Cambria Math"/>
          <w:sz w:val="22"/>
          <w:szCs w:val="22"/>
        </w:rPr>
        <w:t xml:space="preserve">progressive if a &lt; 0, regressive if a &gt; 0</w:t>
      </w:r>
      <w:r>
        <w:rPr>
          <w:rFonts w:ascii="Calibri" w:cs="Calibri" w:eastAsia="Calibri" w:hAnsi="Calibri"/>
          <w:i/>
          <w:iCs/>
          <w:color w:val="7A8A86"/>
          <w:sz w:val="18"/>
          <w:szCs w:val="18"/>
        </w:rPr>
        <w:t xml:space="preserve">     Rosen 14.8: T = −4000 + 0.2I is progressive</w:t>
      </w:r>
    </w:p>
    <w:p>
      <w:pPr>
        <w:spacing w:after="120" w:line="276"/>
      </w:pPr>
      <w:r>
        <w:t xml:space="preserve">Note that progressivity comes entirely from the intercept here: the marginal rate t is constant either way.</w:t>
      </w:r>
    </w:p>
    <w:p>
      <w:pPr>
        <w:pStyle w:val="Heading1"/>
        <w:keepNext/>
        <w:spacing w:after="140" w:before="380"/>
      </w:pPr>
      <w:r>
        <w:rPr>
          <w:b/>
          <w:bCs/>
          <w:color w:val="1F3864"/>
          <w:sz w:val="30"/>
          <w:szCs w:val="30"/>
        </w:rPr>
        <w:t xml:space="preserve">2. Incidence</w:t>
      </w:r>
      <w:r>
        <w:rPr>
          <w:color w:val="7A8A86"/>
          <w:sz w:val="18"/>
          <w:szCs w:val="18"/>
        </w:rPr>
        <w:t xml:space="preserve">   slides 11–24</w:t>
      </w:r>
    </w:p>
    <w:p>
      <w:pPr>
        <w:pStyle w:val="Heading2"/>
        <w:keepNext/>
        <w:spacing w:after="80" w:before="300"/>
      </w:pPr>
      <w:r>
        <w:rPr>
          <w:b/>
          <w:bCs/>
          <w:color w:val="0D6D61"/>
          <w:sz w:val="25"/>
          <w:szCs w:val="25"/>
        </w:rPr>
        <w:t xml:space="preserve">Statutory vs economic incidence</w:t>
      </w:r>
    </w:p>
    <w:p>
      <w:pPr>
        <w:pStyle w:val="ListParagraph"/>
        <w:numPr>
          <w:ilvl w:val="0"/>
          <w:numId w:val="2"/>
        </w:numPr>
        <w:spacing w:after="70" w:line="276"/>
      </w:pPr>
      <w:r>
        <w:rPr>
          <w:b/>
          <w:bCs/>
        </w:rPr>
        <w:t xml:space="preserve">Statutory incidence</w:t>
      </w:r>
      <w:r>
        <w:t xml:space="preserve">: who legally pays the tax to the government (VAT: consumers; Dutch wage tax: partly employers, partly employees).</w:t>
      </w:r>
    </w:p>
    <w:p>
      <w:pPr>
        <w:pStyle w:val="ListParagraph"/>
        <w:numPr>
          <w:ilvl w:val="0"/>
          <w:numId w:val="2"/>
        </w:numPr>
        <w:spacing w:after="70" w:line="276"/>
      </w:pPr>
      <w:r>
        <w:rPr>
          <w:b/>
          <w:bCs/>
        </w:rPr>
        <w:t xml:space="preserve">Economic incidence</w:t>
      </w:r>
      <w:r>
        <w:t xml:space="preserve">: whose welfare actually falls. Through </w:t>
      </w:r>
      <w:r>
        <w:rPr>
          <w:b/>
          <w:bCs/>
        </w:rPr>
        <w:t xml:space="preserve">tax shifting</w:t>
      </w:r>
      <w:r>
        <w:t xml:space="preserve"> via prices, this need not be the party that pays.</w:t>
      </w:r>
    </w:p>
    <w:p>
      <w:pPr>
        <w:pBdr>
          <w:left w:val="single" w:color="B4560F" w:sz="16" w:space="8"/>
        </w:pBdr>
        <w:shd w:fill="FBF0E5" w:color="auto" w:val="clear"/>
        <w:spacing w:after="180" w:before="140" w:line="276"/>
        <w:ind w:left="340"/>
      </w:pPr>
      <w:r>
        <w:rPr>
          <w:color w:val="6B3A10"/>
          <w:sz w:val="20"/>
          <w:szCs w:val="20"/>
        </w:rPr>
        <w:t xml:space="preserve">The striking result [12]: economic incidence is completely independent of statutory incidence.</w:t>
      </w:r>
    </w:p>
    <w:p>
      <w:pPr>
        <w:pStyle w:val="Heading2"/>
        <w:keepNext/>
        <w:spacing w:after="80" w:before="300"/>
      </w:pPr>
      <w:r>
        <w:rPr>
          <w:b/>
          <w:bCs/>
          <w:color w:val="0D6D61"/>
          <w:sz w:val="25"/>
          <w:szCs w:val="25"/>
        </w:rPr>
        <w:t xml:space="preserve">How a unit tax works</w:t>
      </w:r>
      <w:r>
        <w:rPr>
          <w:color w:val="7A8A86"/>
          <w:sz w:val="18"/>
          <w:szCs w:val="18"/>
        </w:rPr>
        <w:t xml:space="preserve">   slides 14–17</w:t>
      </w:r>
    </w:p>
    <w:p>
      <w:pPr>
        <w:spacing w:after="120" w:line="276"/>
      </w:pPr>
      <w:r>
        <w:t xml:space="preserve">A unit tax u on producers shifts the supply curve </w:t>
      </w:r>
      <w:r>
        <w:rPr>
          <w:b/>
          <w:bCs/>
        </w:rPr>
        <w:t xml:space="preserve">up by exactly u</w:t>
      </w:r>
      <w:r>
        <w:t xml:space="preserve">: to supply any quantity, producers now need u more. The result is a wedge between the two prices:</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P</w:t>
      </w:r>
      <w:r>
        <w:rPr>
          <w:rFonts w:ascii="Cambria Math" w:cs="Cambria Math" w:eastAsia="Cambria Math" w:hAnsi="Cambria Math"/>
          <w:sz w:val="22"/>
          <w:szCs w:val="22"/>
          <w:vertAlign w:val="subscript"/>
        </w:rPr>
        <w:t xml:space="preserve">d</w:t>
      </w:r>
      <w:r>
        <w:rPr>
          <w:rFonts w:ascii="Cambria Math" w:cs="Cambria Math" w:eastAsia="Cambria Math" w:hAnsi="Cambria Math"/>
          <w:sz w:val="22"/>
          <w:szCs w:val="22"/>
        </w:rPr>
        <w:t xml:space="preserve"> = P</w:t>
      </w:r>
      <w:r>
        <w:rPr>
          <w:rFonts w:ascii="Cambria Math" w:cs="Cambria Math" w:eastAsia="Cambria Math" w:hAnsi="Cambria Math"/>
          <w:sz w:val="22"/>
          <w:szCs w:val="22"/>
          <w:vertAlign w:val="subscript"/>
        </w:rPr>
        <w:t xml:space="preserve">s</w:t>
      </w:r>
      <w:r>
        <w:rPr>
          <w:rFonts w:ascii="Cambria Math" w:cs="Cambria Math" w:eastAsia="Cambria Math" w:hAnsi="Cambria Math"/>
          <w:sz w:val="22"/>
          <w:szCs w:val="22"/>
        </w:rPr>
        <w:t xml:space="preserve"> + u</w:t>
      </w:r>
      <w:r>
        <w:rPr>
          <w:rFonts w:ascii="Calibri" w:cs="Calibri" w:eastAsia="Calibri" w:hAnsi="Calibri"/>
          <w:i/>
          <w:iCs/>
          <w:color w:val="7A8A86"/>
          <w:sz w:val="18"/>
          <w:szCs w:val="18"/>
        </w:rPr>
        <w:t xml:space="preserve">     what consumers pay = what producers keep + tax</w:t>
      </w:r>
    </w:p>
    <w:p>
      <w:pPr>
        <w:spacing w:after="120" w:line="276"/>
      </w:pPr>
      <w:r>
        <w:t xml:space="preserve">Worked example (exercise 5.1): demand P = 10 − ⅔Q, supply P = 1 + ⅓Q, tax t = 3 on producers.</w:t>
      </w:r>
    </w:p>
    <w:p>
      <w:pPr>
        <w:pStyle w:val="ListParagraph"/>
        <w:numPr>
          <w:ilvl w:val="0"/>
          <w:numId w:val="3"/>
        </w:numPr>
        <w:spacing w:after="70" w:line="276"/>
      </w:pPr>
      <w:r>
        <w:rPr>
          <w:b/>
          <w:bCs/>
        </w:rPr>
        <w:t xml:space="preserve">Before the tax</w:t>
      </w:r>
      <w:r>
        <w:t xml:space="preserve">, set demand = supply: 10 − ⅔Q = 1 + ⅓Q gives </w:t>
      </w:r>
      <w:r>
        <w:rPr>
          <w:b/>
          <w:bCs/>
        </w:rPr>
        <w:t xml:space="preserve">Q = 9, P = 4</w:t>
      </w:r>
      <w:r>
        <w:t xml:space="preserve">.</w:t>
      </w:r>
    </w:p>
    <w:p>
      <w:pPr>
        <w:pStyle w:val="ListParagraph"/>
        <w:numPr>
          <w:ilvl w:val="0"/>
          <w:numId w:val="3"/>
        </w:numPr>
        <w:spacing w:after="70" w:line="276"/>
      </w:pPr>
      <w:r>
        <w:rPr>
          <w:b/>
          <w:bCs/>
        </w:rPr>
        <w:t xml:space="preserve">Shift supply up by 3</w:t>
      </w:r>
      <w:r>
        <w:t xml:space="preserve">: P = 4 + ⅓Q.</w:t>
      </w:r>
    </w:p>
    <w:p>
      <w:pPr>
        <w:pStyle w:val="ListParagraph"/>
        <w:numPr>
          <w:ilvl w:val="0"/>
          <w:numId w:val="3"/>
        </w:numPr>
        <w:spacing w:after="70" w:line="276"/>
      </w:pPr>
      <w:r>
        <w:rPr>
          <w:b/>
          <w:bCs/>
        </w:rPr>
        <w:t xml:space="preserve">Set equal again</w:t>
      </w:r>
      <w:r>
        <w:t xml:space="preserve">: 10 − ⅔Q = 4 + ⅓Q gives </w:t>
      </w:r>
      <w:r>
        <w:rPr>
          <w:b/>
          <w:bCs/>
        </w:rPr>
        <w:t xml:space="preserve">Q = 6</w:t>
      </w:r>
      <w:r>
        <w:t xml:space="preserve">, consumer price </w:t>
      </w:r>
      <w:r>
        <w:rPr>
          <w:b/>
          <w:bCs/>
        </w:rPr>
        <w:t xml:space="preserve">6</w:t>
      </w:r>
      <w:r>
        <w:t xml:space="preserve">.</w:t>
      </w:r>
    </w:p>
    <w:p>
      <w:pPr>
        <w:pStyle w:val="ListParagraph"/>
        <w:numPr>
          <w:ilvl w:val="0"/>
          <w:numId w:val="3"/>
        </w:numPr>
        <w:spacing w:after="70" w:line="276"/>
      </w:pPr>
      <w:r>
        <w:rPr>
          <w:b/>
          <w:bCs/>
        </w:rPr>
        <w:t xml:space="preserve">Producer price</w:t>
      </w:r>
      <w:r>
        <w:t xml:space="preserve"> = 6 − 3 = </w:t>
      </w:r>
      <w:r>
        <w:rPr>
          <w:b/>
          <w:bCs/>
        </w:rPr>
        <w:t xml:space="preserve">3</w:t>
      </w:r>
      <w:r>
        <w:t xml:space="preserve">. Check on the original supply curve: 1 + ⅓(6) = 3 ✓.</w:t>
      </w:r>
    </w:p>
    <w:p>
      <w:pPr>
        <w:pStyle w:val="ListParagraph"/>
        <w:numPr>
          <w:ilvl w:val="0"/>
          <w:numId w:val="3"/>
        </w:numPr>
        <w:spacing w:after="70" w:line="276"/>
      </w:pPr>
      <w:r>
        <w:rPr>
          <w:b/>
          <w:bCs/>
        </w:rPr>
        <w:t xml:space="preserve">Burden</w:t>
      </w:r>
      <w:r>
        <w:t xml:space="preserve"> = price change × new quantity: consumers 2 × 6 = </w:t>
      </w:r>
      <w:r>
        <w:rPr>
          <w:b/>
          <w:bCs/>
        </w:rPr>
        <w:t xml:space="preserve">12</w:t>
      </w:r>
      <w:r>
        <w:t xml:space="preserve">, producers 1 × 6 = </w:t>
      </w:r>
      <w:r>
        <w:rPr>
          <w:b/>
          <w:bCs/>
        </w:rPr>
        <w:t xml:space="preserve">6</w:t>
      </w:r>
      <w:r>
        <w:t xml:space="preserve">, total = revenue 3 × 6 = 18 ✓.</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Exercise 5.1. Orange: consumers' share of the revenue. Blue: producers' share. Grey triangle: excess burden.</w:t>
      </w:r>
    </w:p>
    <w:p>
      <w:pPr>
        <w:spacing w:after="120" w:line="276"/>
      </w:pPr>
      <w:r>
        <w:rPr>
          <w:b/>
          <w:bCs/>
        </w:rPr>
        <w:t xml:space="preserve">Who pays doesn't matter</w:t>
      </w:r>
      <w:r>
        <w:t xml:space="preserve"> [17–18]: put the same tax on consumers and demand shifts down by u instead, giving the identical Q, P</w:t>
      </w:r>
      <w:r>
        <w:rPr>
          <w:vertAlign w:val="subscript"/>
        </w:rPr>
        <w:t xml:space="preserve">d</w:t>
      </w:r>
      <w:r>
        <w:t xml:space="preserve"> and P</w:t>
      </w:r>
      <w:r>
        <w:rPr>
          <w:vertAlign w:val="subscript"/>
        </w:rPr>
        <w:t xml:space="preserve">s</w:t>
      </w:r>
      <w:r>
        <w:t xml:space="preserve"> (proved in Rosen 14.6). The same holds for payroll taxes: whether employers or employees pay is irrelevant [23].</w:t>
      </w:r>
    </w:p>
    <w:p>
      <w:pPr>
        <w:pStyle w:val="Heading2"/>
        <w:keepNext/>
        <w:spacing w:after="80" w:before="300"/>
      </w:pPr>
      <w:r>
        <w:rPr>
          <w:b/>
          <w:bCs/>
          <w:color w:val="0D6D61"/>
          <w:sz w:val="25"/>
          <w:szCs w:val="25"/>
        </w:rPr>
        <w:t xml:space="preserve">What decides the split: elasticities</w:t>
      </w:r>
      <w:r>
        <w:rPr>
          <w:color w:val="7A8A86"/>
          <w:sz w:val="18"/>
          <w:szCs w:val="18"/>
        </w:rPr>
        <w:t xml:space="preserve">   slides 19–22</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ε = (dQ/dP) × (P/Q)</w:t>
      </w:r>
      <w:r>
        <w:rPr>
          <w:rFonts w:ascii="Calibri" w:cs="Calibri" w:eastAsia="Calibri" w:hAnsi="Calibri"/>
          <w:i/>
          <w:iCs/>
          <w:color w:val="7A8A86"/>
          <w:sz w:val="18"/>
          <w:szCs w:val="18"/>
        </w:rPr>
        <w:t xml:space="preserve">     measured at a point</w:t>
      </w:r>
      <w:r>
        <w:br/>
      </w:r>
      <w:r>
        <w:rPr>
          <w:rFonts w:ascii="Cambria Math" w:cs="Cambria Math" w:eastAsia="Cambria Math" w:hAnsi="Cambria Math"/>
          <w:sz w:val="22"/>
          <w:szCs w:val="22"/>
        </w:rPr>
        <w:t xml:space="preserve">consumer share of the burden = ε</w:t>
      </w:r>
      <w:r>
        <w:rPr>
          <w:rFonts w:ascii="Cambria Math" w:cs="Cambria Math" w:eastAsia="Cambria Math" w:hAnsi="Cambria Math"/>
          <w:sz w:val="22"/>
          <w:szCs w:val="22"/>
          <w:vertAlign w:val="subscript"/>
        </w:rPr>
        <w:t xml:space="preserve">s</w:t>
      </w:r>
      <w:r>
        <w:rPr>
          <w:rFonts w:ascii="Cambria Math" w:cs="Cambria Math" w:eastAsia="Cambria Math" w:hAnsi="Cambria Math"/>
          <w:sz w:val="22"/>
          <w:szCs w:val="22"/>
        </w:rPr>
        <w:t xml:space="preserve"> / (ε</w:t>
      </w:r>
      <w:r>
        <w:rPr>
          <w:rFonts w:ascii="Cambria Math" w:cs="Cambria Math" w:eastAsia="Cambria Math" w:hAnsi="Cambria Math"/>
          <w:sz w:val="22"/>
          <w:szCs w:val="22"/>
          <w:vertAlign w:val="subscript"/>
        </w:rPr>
        <w:t xml:space="preserve">s</w:t>
      </w:r>
      <w:r>
        <w:rPr>
          <w:rFonts w:ascii="Cambria Math" w:cs="Cambria Math" w:eastAsia="Cambria Math" w:hAnsi="Cambria Math"/>
          <w:sz w:val="22"/>
          <w:szCs w:val="22"/>
        </w:rPr>
        <w:t xml:space="preserve"> + |ε</w:t>
      </w:r>
      <w:r>
        <w:rPr>
          <w:rFonts w:ascii="Cambria Math" w:cs="Cambria Math" w:eastAsia="Cambria Math" w:hAnsi="Cambria Math"/>
          <w:sz w:val="22"/>
          <w:szCs w:val="22"/>
          <w:vertAlign w:val="subscript"/>
        </w:rPr>
        <w:t xml:space="preserve">d</w:t>
      </w:r>
      <w:r>
        <w:rPr>
          <w:rFonts w:ascii="Cambria Math" w:cs="Cambria Math" w:eastAsia="Cambria Math" w:hAnsi="Cambria Math"/>
          <w:sz w:val="22"/>
          <w:szCs w:val="22"/>
        </w:rPr>
        <w:t xml:space="preserve">|)</w:t>
      </w:r>
    </w:p>
    <w:p>
      <w:pPr>
        <w:spacing w:after="120" w:line="276"/>
      </w:pPr>
      <w:r>
        <w:rPr>
          <w:b/>
          <w:bCs/>
        </w:rPr>
        <w:t xml:space="preserve">How to compute ε when the curve is given as P = f(Q)</w:t>
      </w:r>
      <w:r>
        <w:t xml:space="preserve">: take dP/dQ and flip it, since dQ/dP = 1/(dP/dQ). For exercise 5.1 at (Q, P) = (9,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38"/>
      </w:tblGrid>
      <w:tr>
        <w:trPr>
          <w:tblHeader/>
        </w:trPr>
        <w:tc>
          <w:tcPr>
            <w:tcW w:type="dxa" w:w="2200"/>
            <w:shd w:fill="DEEAF6" w:color="auto" w:val="clear"/>
            <w:tcMar>
              <w:top w:type="dxa" w:w="60"/>
              <w:left w:type="dxa" w:w="100"/>
              <w:bottom w:type="dxa" w:w="60"/>
              <w:right w:type="dxa" w:w="100"/>
            </w:tcMar>
          </w:tcPr>
          <w:p>
            <w:pPr>
              <w:spacing w:after="0"/>
            </w:pPr>
          </w:p>
        </w:tc>
        <w:tc>
          <w:tcPr>
            <w:tcW w:type="dxa" w:w="2400"/>
            <w:shd w:fill="DEEAF6" w:color="auto" w:val="clear"/>
            <w:tcMar>
              <w:top w:type="dxa" w:w="60"/>
              <w:left w:type="dxa" w:w="100"/>
              <w:bottom w:type="dxa" w:w="60"/>
              <w:right w:type="dxa" w:w="100"/>
            </w:tcMar>
          </w:tcPr>
          <w:p>
            <w:pPr>
              <w:spacing w:after="0"/>
            </w:pPr>
            <w:r>
              <w:rPr>
                <w:b/>
                <w:bCs/>
                <w:sz w:val="19"/>
                <w:szCs w:val="19"/>
              </w:rPr>
              <w:t xml:space="preserve">dP/dQ</w:t>
            </w:r>
          </w:p>
        </w:tc>
        <w:tc>
          <w:tcPr>
            <w:tcW w:type="dxa" w:w="2400"/>
            <w:shd w:fill="DEEAF6" w:color="auto" w:val="clear"/>
            <w:tcMar>
              <w:top w:type="dxa" w:w="60"/>
              <w:left w:type="dxa" w:w="100"/>
              <w:bottom w:type="dxa" w:w="60"/>
              <w:right w:type="dxa" w:w="100"/>
            </w:tcMar>
          </w:tcPr>
          <w:p>
            <w:pPr>
              <w:spacing w:after="0"/>
            </w:pPr>
            <w:r>
              <w:rPr>
                <w:b/>
                <w:bCs/>
                <w:sz w:val="19"/>
                <w:szCs w:val="19"/>
              </w:rPr>
              <w:t xml:space="preserve">dQ/dP</w:t>
            </w:r>
          </w:p>
        </w:tc>
        <w:tc>
          <w:tcPr>
            <w:tcW w:type="dxa" w:w="2638"/>
            <w:shd w:fill="DEEAF6" w:color="auto" w:val="clear"/>
            <w:tcMar>
              <w:top w:type="dxa" w:w="60"/>
              <w:left w:type="dxa" w:w="100"/>
              <w:bottom w:type="dxa" w:w="60"/>
              <w:right w:type="dxa" w:w="100"/>
            </w:tcMar>
          </w:tcPr>
          <w:p>
            <w:pPr>
              <w:spacing w:after="0"/>
            </w:pPr>
            <w:r>
              <w:rPr>
                <w:b/>
                <w:bCs/>
                <w:sz w:val="19"/>
                <w:szCs w:val="19"/>
              </w:rPr>
              <w:t xml:space="preserve">ε = (dQ/dP)(P/Q)</w:t>
            </w:r>
          </w:p>
        </w:tc>
      </w:tr>
      <w:tr>
        <w:trPr>
          <w:tblHeader w:val="false"/>
        </w:trPr>
        <w:tc>
          <w:tcPr>
            <w:tcW w:type="dxa" w:w="2200"/>
            <w:tcMar>
              <w:top w:type="dxa" w:w="60"/>
              <w:left w:type="dxa" w:w="100"/>
              <w:bottom w:type="dxa" w:w="60"/>
              <w:right w:type="dxa" w:w="100"/>
            </w:tcMar>
          </w:tcPr>
          <w:p>
            <w:pPr>
              <w:spacing w:after="0"/>
            </w:pPr>
            <w:r>
              <w:rPr>
                <w:b/>
                <w:bCs/>
                <w:sz w:val="19"/>
                <w:szCs w:val="19"/>
              </w:rPr>
              <w:t xml:space="preserve">Demand</w:t>
            </w:r>
          </w:p>
        </w:tc>
        <w:tc>
          <w:tcPr>
            <w:tcW w:type="dxa" w:w="2400"/>
            <w:tcMar>
              <w:top w:type="dxa" w:w="60"/>
              <w:left w:type="dxa" w:w="100"/>
              <w:bottom w:type="dxa" w:w="60"/>
              <w:right w:type="dxa" w:w="100"/>
            </w:tcMar>
          </w:tcPr>
          <w:p>
            <w:pPr>
              <w:spacing w:after="0"/>
            </w:pPr>
            <w:r>
              <w:rPr>
                <w:b w:val="false"/>
                <w:bCs w:val="false"/>
                <w:sz w:val="19"/>
                <w:szCs w:val="19"/>
              </w:rPr>
              <w:t xml:space="preserve">−2/3</w:t>
            </w:r>
          </w:p>
        </w:tc>
        <w:tc>
          <w:tcPr>
            <w:tcW w:type="dxa" w:w="2400"/>
            <w:tcMar>
              <w:top w:type="dxa" w:w="60"/>
              <w:left w:type="dxa" w:w="100"/>
              <w:bottom w:type="dxa" w:w="60"/>
              <w:right w:type="dxa" w:w="100"/>
            </w:tcMar>
          </w:tcPr>
          <w:p>
            <w:pPr>
              <w:spacing w:after="0"/>
            </w:pPr>
            <w:r>
              <w:rPr>
                <w:b w:val="false"/>
                <w:bCs w:val="false"/>
                <w:sz w:val="19"/>
                <w:szCs w:val="19"/>
              </w:rPr>
              <w:t xml:space="preserve">−3/2</w:t>
            </w:r>
          </w:p>
        </w:tc>
        <w:tc>
          <w:tcPr>
            <w:tcW w:type="dxa" w:w="2638"/>
            <w:tcMar>
              <w:top w:type="dxa" w:w="60"/>
              <w:left w:type="dxa" w:w="100"/>
              <w:bottom w:type="dxa" w:w="60"/>
              <w:right w:type="dxa" w:w="100"/>
            </w:tcMar>
          </w:tcPr>
          <w:p>
            <w:pPr>
              <w:spacing w:after="0"/>
            </w:pPr>
            <w:r>
              <w:rPr>
                <w:b w:val="false"/>
                <w:bCs w:val="false"/>
                <w:sz w:val="19"/>
                <w:szCs w:val="19"/>
              </w:rPr>
              <w:t xml:space="preserve">−1.5 × 4/9 = −2/3</w:t>
            </w:r>
          </w:p>
        </w:tc>
      </w:tr>
      <w:tr>
        <w:trPr>
          <w:tblHeader w:val="false"/>
        </w:trPr>
        <w:tc>
          <w:tcPr>
            <w:tcW w:type="dxa" w:w="2200"/>
            <w:tcMar>
              <w:top w:type="dxa" w:w="60"/>
              <w:left w:type="dxa" w:w="100"/>
              <w:bottom w:type="dxa" w:w="60"/>
              <w:right w:type="dxa" w:w="100"/>
            </w:tcMar>
          </w:tcPr>
          <w:p>
            <w:pPr>
              <w:spacing w:after="0"/>
            </w:pPr>
            <w:r>
              <w:rPr>
                <w:b/>
                <w:bCs/>
                <w:sz w:val="19"/>
                <w:szCs w:val="19"/>
              </w:rPr>
              <w:t xml:space="preserve">Supply</w:t>
            </w:r>
          </w:p>
        </w:tc>
        <w:tc>
          <w:tcPr>
            <w:tcW w:type="dxa" w:w="2400"/>
            <w:tcMar>
              <w:top w:type="dxa" w:w="60"/>
              <w:left w:type="dxa" w:w="100"/>
              <w:bottom w:type="dxa" w:w="60"/>
              <w:right w:type="dxa" w:w="100"/>
            </w:tcMar>
          </w:tcPr>
          <w:p>
            <w:pPr>
              <w:spacing w:after="0"/>
            </w:pPr>
            <w:r>
              <w:rPr>
                <w:b w:val="false"/>
                <w:bCs w:val="false"/>
                <w:sz w:val="19"/>
                <w:szCs w:val="19"/>
              </w:rPr>
              <w:t xml:space="preserve">+1/3</w:t>
            </w:r>
          </w:p>
        </w:tc>
        <w:tc>
          <w:tcPr>
            <w:tcW w:type="dxa" w:w="2400"/>
            <w:tcMar>
              <w:top w:type="dxa" w:w="60"/>
              <w:left w:type="dxa" w:w="100"/>
              <w:bottom w:type="dxa" w:w="60"/>
              <w:right w:type="dxa" w:w="100"/>
            </w:tcMar>
          </w:tcPr>
          <w:p>
            <w:pPr>
              <w:spacing w:after="0"/>
            </w:pPr>
            <w:r>
              <w:rPr>
                <w:b w:val="false"/>
                <w:bCs w:val="false"/>
                <w:sz w:val="19"/>
                <w:szCs w:val="19"/>
              </w:rPr>
              <w:t xml:space="preserve">3</w:t>
            </w:r>
          </w:p>
        </w:tc>
        <w:tc>
          <w:tcPr>
            <w:tcW w:type="dxa" w:w="2638"/>
            <w:tcMar>
              <w:top w:type="dxa" w:w="60"/>
              <w:left w:type="dxa" w:w="100"/>
              <w:bottom w:type="dxa" w:w="60"/>
              <w:right w:type="dxa" w:w="100"/>
            </w:tcMar>
          </w:tcPr>
          <w:p>
            <w:pPr>
              <w:spacing w:after="0"/>
            </w:pPr>
            <w:r>
              <w:rPr>
                <w:b w:val="false"/>
                <w:bCs w:val="false"/>
                <w:sz w:val="19"/>
                <w:szCs w:val="19"/>
              </w:rPr>
              <w:t xml:space="preserve">3 × 4/9 = 4/3</w:t>
            </w:r>
          </w:p>
        </w:tc>
      </w:tr>
    </w:tbl>
    <w:p>
      <w:pPr>
        <w:spacing w:after="150" w:line="276"/>
      </w:pPr>
    </w:p>
    <w:p>
      <w:pPr>
        <w:spacing w:after="120" w:line="276"/>
      </w:pPr>
      <w:r>
        <w:t xml:space="preserve">Supply is twice as elastic as demand, so consumers bear twice as much: (4/3) / (4/3 + 2/3) = </w:t>
      </w:r>
      <w:r>
        <w:rPr>
          <w:b/>
          <w:bCs/>
        </w:rPr>
        <w:t xml:space="preserve">2/3</w:t>
      </w:r>
      <w:r>
        <w:t xml:space="preserve"> ✓, exactly the 12 : 6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shd w:fill="DEEAF6" w:color="auto" w:val="clear"/>
            <w:tcMar>
              <w:top w:type="dxa" w:w="60"/>
              <w:left w:type="dxa" w:w="100"/>
              <w:bottom w:type="dxa" w:w="60"/>
              <w:right w:type="dxa" w:w="100"/>
            </w:tcMar>
          </w:tcPr>
          <w:p>
            <w:pPr>
              <w:spacing w:after="0"/>
            </w:pPr>
            <w:r>
              <w:rPr>
                <w:b/>
                <w:bCs/>
                <w:sz w:val="19"/>
                <w:szCs w:val="19"/>
              </w:rPr>
              <w:t xml:space="preserve">Case</w:t>
            </w:r>
          </w:p>
        </w:tc>
        <w:tc>
          <w:tcPr>
            <w:tcW w:type="dxa" w:w="5438"/>
            <w:shd w:fill="DEEAF6" w:color="auto" w:val="clear"/>
            <w:tcMar>
              <w:top w:type="dxa" w:w="60"/>
              <w:left w:type="dxa" w:w="100"/>
              <w:bottom w:type="dxa" w:w="60"/>
              <w:right w:type="dxa" w:w="100"/>
            </w:tcMar>
          </w:tcPr>
          <w:p>
            <w:pPr>
              <w:spacing w:after="0"/>
            </w:pPr>
            <w:r>
              <w:rPr>
                <w:b/>
                <w:bCs/>
                <w:sz w:val="19"/>
                <w:szCs w:val="19"/>
              </w:rPr>
              <w:t xml:space="preserve">Who bears the tax</w:t>
            </w:r>
          </w:p>
        </w:tc>
      </w:tr>
      <w:tr>
        <w:trPr>
          <w:tblHeader w:val="false"/>
        </w:trPr>
        <w:tc>
          <w:tcPr>
            <w:tcW w:type="dxa" w:w="4200"/>
            <w:tcMar>
              <w:top w:type="dxa" w:w="60"/>
              <w:left w:type="dxa" w:w="100"/>
              <w:bottom w:type="dxa" w:w="60"/>
              <w:right w:type="dxa" w:w="100"/>
            </w:tcMar>
          </w:tcPr>
          <w:p>
            <w:pPr>
              <w:spacing w:after="0"/>
            </w:pPr>
            <w:r>
              <w:rPr>
                <w:b/>
                <w:bCs/>
                <w:sz w:val="19"/>
                <w:szCs w:val="19"/>
              </w:rPr>
              <w:t xml:space="preserve">Perfectly elastic supply [21]</w:t>
            </w:r>
          </w:p>
        </w:tc>
        <w:tc>
          <w:tcPr>
            <w:tcW w:type="dxa" w:w="5438"/>
            <w:tcMar>
              <w:top w:type="dxa" w:w="60"/>
              <w:left w:type="dxa" w:w="100"/>
              <w:bottom w:type="dxa" w:w="60"/>
              <w:right w:type="dxa" w:w="100"/>
            </w:tcMar>
          </w:tcPr>
          <w:p>
            <w:pPr>
              <w:spacing w:after="0"/>
            </w:pPr>
            <w:r>
              <w:rPr>
                <w:b w:val="false"/>
                <w:bCs w:val="false"/>
                <w:sz w:val="19"/>
                <w:szCs w:val="19"/>
              </w:rPr>
              <w:t xml:space="preserve">consumers, 100%</w:t>
            </w:r>
          </w:p>
        </w:tc>
      </w:tr>
      <w:tr>
        <w:trPr>
          <w:tblHeader w:val="false"/>
        </w:trPr>
        <w:tc>
          <w:tcPr>
            <w:tcW w:type="dxa" w:w="4200"/>
            <w:tcMar>
              <w:top w:type="dxa" w:w="60"/>
              <w:left w:type="dxa" w:w="100"/>
              <w:bottom w:type="dxa" w:w="60"/>
              <w:right w:type="dxa" w:w="100"/>
            </w:tcMar>
          </w:tcPr>
          <w:p>
            <w:pPr>
              <w:spacing w:after="0"/>
            </w:pPr>
            <w:r>
              <w:rPr>
                <w:b/>
                <w:bCs/>
                <w:sz w:val="19"/>
                <w:szCs w:val="19"/>
              </w:rPr>
              <w:t xml:space="preserve">Perfectly inelastic supply [22]</w:t>
            </w:r>
          </w:p>
        </w:tc>
        <w:tc>
          <w:tcPr>
            <w:tcW w:type="dxa" w:w="5438"/>
            <w:tcMar>
              <w:top w:type="dxa" w:w="60"/>
              <w:left w:type="dxa" w:w="100"/>
              <w:bottom w:type="dxa" w:w="60"/>
              <w:right w:type="dxa" w:w="100"/>
            </w:tcMar>
          </w:tcPr>
          <w:p>
            <w:pPr>
              <w:spacing w:after="0"/>
            </w:pPr>
            <w:r>
              <w:rPr>
                <w:b w:val="false"/>
                <w:bCs w:val="false"/>
                <w:sz w:val="19"/>
                <w:szCs w:val="19"/>
              </w:rPr>
              <w:t xml:space="preserve">producers, 100%</w:t>
            </w:r>
          </w:p>
        </w:tc>
      </w:tr>
      <w:tr>
        <w:trPr>
          <w:tblHeader w:val="false"/>
        </w:trPr>
        <w:tc>
          <w:tcPr>
            <w:tcW w:type="dxa" w:w="4200"/>
            <w:tcMar>
              <w:top w:type="dxa" w:w="60"/>
              <w:left w:type="dxa" w:w="100"/>
              <w:bottom w:type="dxa" w:w="60"/>
              <w:right w:type="dxa" w:w="100"/>
            </w:tcMar>
          </w:tcPr>
          <w:p>
            <w:pPr>
              <w:spacing w:after="0"/>
            </w:pPr>
            <w:r>
              <w:rPr>
                <w:b/>
                <w:bCs/>
                <w:sz w:val="19"/>
                <w:szCs w:val="19"/>
              </w:rPr>
              <w:t xml:space="preserve">In general</w:t>
            </w:r>
          </w:p>
        </w:tc>
        <w:tc>
          <w:tcPr>
            <w:tcW w:type="dxa" w:w="5438"/>
            <w:tcMar>
              <w:top w:type="dxa" w:w="60"/>
              <w:left w:type="dxa" w:w="100"/>
              <w:bottom w:type="dxa" w:w="60"/>
              <w:right w:type="dxa" w:w="100"/>
            </w:tcMar>
          </w:tcPr>
          <w:p>
            <w:pPr>
              <w:spacing w:after="0"/>
            </w:pPr>
            <w:r>
              <w:rPr>
                <w:b w:val="false"/>
                <w:bCs w:val="false"/>
                <w:sz w:val="19"/>
                <w:szCs w:val="19"/>
              </w:rPr>
              <w:t xml:space="preserve">the less elastic side bears more</w:t>
            </w:r>
          </w:p>
        </w:tc>
      </w:tr>
    </w:tbl>
    <w:p>
      <w:pPr>
        <w:spacing w:after="150" w:line="276"/>
      </w:pPr>
    </w:p>
    <w:p>
      <w:pPr>
        <w:pBdr>
          <w:left w:val="single" w:color="B4560F" w:sz="16" w:space="8"/>
        </w:pBdr>
        <w:shd w:fill="FBF0E5" w:color="auto" w:val="clear"/>
        <w:spacing w:after="180" w:before="140" w:line="276"/>
        <w:ind w:left="340"/>
      </w:pPr>
      <w:r>
        <w:rPr>
          <w:color w:val="6B3A10"/>
          <w:sz w:val="20"/>
          <w:szCs w:val="20"/>
        </w:rPr>
        <w:t xml:space="preserve">Intuition [24]: elasticity measures how good your untaxed alternatives are. The better your alternatives, the easier it is to walk away, and the smaller your share. Elasticities are larger in the long run than in the short run, so incidence can shift over time.</w:t>
      </w:r>
    </w:p>
    <w:p>
      <w:pPr>
        <w:pStyle w:val="Heading1"/>
        <w:keepNext/>
        <w:spacing w:after="140" w:before="380"/>
      </w:pPr>
      <w:r>
        <w:rPr>
          <w:b/>
          <w:bCs/>
          <w:color w:val="1F3864"/>
          <w:sz w:val="30"/>
          <w:szCs w:val="30"/>
        </w:rPr>
        <w:t xml:space="preserve">3. Excess burden at the market level</w:t>
      </w:r>
      <w:r>
        <w:rPr>
          <w:color w:val="7A8A86"/>
          <w:sz w:val="18"/>
          <w:szCs w:val="18"/>
        </w:rPr>
        <w:t xml:space="preserve">   slides 25–28</w:t>
      </w:r>
    </w:p>
    <w:p>
      <w:pPr>
        <w:spacing w:after="120" w:line="276"/>
      </w:pPr>
      <w:r>
        <w:t xml:space="preserve">Tax revenue is not a loss — it is a transfer to the government. But the </w:t>
      </w:r>
      <w:r>
        <w:rPr>
          <w:b/>
          <w:bCs/>
        </w:rPr>
        <w:t xml:space="preserve">total loss of consumer and producer surplus exceeds the revenue</w:t>
      </w:r>
      <w:r>
        <w:t xml:space="preserve">. The difference is the </w:t>
      </w:r>
      <w:r>
        <w:rPr>
          <w:b/>
          <w:bCs/>
        </w:rPr>
        <w:t xml:space="preserve">excess burden</w:t>
      </w:r>
      <w:r>
        <w:t xml:space="preserve"> (deadweight loss):</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excess burden = total surplus lost − tax revenue</w:t>
      </w:r>
      <w:r>
        <w:br/>
      </w:r>
      <w:r>
        <w:rPr>
          <w:rFonts w:ascii="Cambria Math" w:cs="Cambria Math" w:eastAsia="Cambria Math" w:hAnsi="Cambria Math"/>
          <w:sz w:val="22"/>
          <w:szCs w:val="22"/>
        </w:rPr>
        <w:t xml:space="preserve">EB = ½ × t × (Q</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rPr>
        <w:t xml:space="preserve"> − Q</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w:t>
      </w:r>
      <w:r>
        <w:rPr>
          <w:rFonts w:ascii="Calibri" w:cs="Calibri" w:eastAsia="Calibri" w:hAnsi="Calibri"/>
          <w:i/>
          <w:iCs/>
          <w:color w:val="7A8A86"/>
          <w:sz w:val="18"/>
          <w:szCs w:val="18"/>
        </w:rPr>
        <w:t xml:space="preserve">     the triangle, for linear curves</w:t>
      </w:r>
    </w:p>
    <w:p>
      <w:pPr>
        <w:spacing w:after="120" w:line="276"/>
      </w:pPr>
      <w:r>
        <w:t xml:space="preserve">Exercise 5.1: EB = ½ × 3 × (9 − 6) = </w:t>
      </w:r>
      <w:r>
        <w:rPr>
          <w:b/>
          <w:bCs/>
        </w:rPr>
        <w:t xml:space="preserve">4.5</w:t>
      </w:r>
      <w:r>
        <w:t xml:space="preserve">. Check: consumers lose 15, producers 7.5, total 22.5 = revenue 18 + EB 4.5 ✓.</w:t>
      </w:r>
    </w:p>
    <w:p>
      <w:pPr>
        <w:spacing w:after="120" w:line="276"/>
      </w:pPr>
      <w:r>
        <w:rPr>
          <w:b/>
          <w:bCs/>
        </w:rPr>
        <w:t xml:space="preserve">Why it arises</w:t>
      </w:r>
      <w:r>
        <w:t xml:space="preserve"> [28]: competitive markets set MRS = MRT = P</w:t>
      </w:r>
      <w:r>
        <w:rPr>
          <w:vertAlign w:val="subscript"/>
        </w:rPr>
        <w:t xml:space="preserve">X</w:t>
      </w:r>
      <w:r>
        <w:t xml:space="preserve">/P</w:t>
      </w:r>
      <w:r>
        <w:rPr>
          <w:vertAlign w:val="subscript"/>
        </w:rPr>
        <w:t xml:space="preserve">Y</w:t>
      </w:r>
      <w:r>
        <w:t xml:space="preserve">. The tax drives a wedge — consumers react to the price they pay, producers to the price they keep — so </w:t>
      </w:r>
      <w:r>
        <w:rPr>
          <w:b/>
          <w:bCs/>
        </w:rPr>
        <w:t xml:space="preserve">MRS ≠ MRT</w:t>
      </w:r>
      <w:r>
        <w:t xml:space="preserve">, and the units between Q</w:t>
      </w:r>
      <w:r>
        <w:rPr>
          <w:vertAlign w:val="subscript"/>
        </w:rPr>
        <w:t xml:space="preserve">t</w:t>
      </w:r>
      <w:r>
        <w:t xml:space="preserve"> and Q</w:t>
      </w:r>
      <w:r>
        <w:rPr>
          <w:vertAlign w:val="subscript"/>
        </w:rPr>
        <w:t xml:space="preserve">E</w:t>
      </w:r>
      <w:r>
        <w:t xml:space="preserve">, worth more to consumers than they cost to make, are no longer traded.</w:t>
      </w:r>
    </w:p>
    <w:p>
      <w:pPr>
        <w:pStyle w:val="ListParagraph"/>
        <w:numPr>
          <w:ilvl w:val="0"/>
          <w:numId w:val="2"/>
        </w:numPr>
        <w:spacing w:after="70" w:line="276"/>
      </w:pPr>
      <w:r>
        <w:rPr>
          <w:b/>
          <w:bCs/>
        </w:rPr>
        <w:t xml:space="preserve">More elastic</w:t>
      </w:r>
      <w:r>
        <w:t xml:space="preserve"> demand or supply → larger ΔQ for the same tax → </w:t>
      </w:r>
      <w:r>
        <w:rPr>
          <w:b/>
          <w:bCs/>
        </w:rPr>
        <w:t xml:space="preserve">larger</w:t>
      </w:r>
      <w:r>
        <w:t xml:space="preserve"> excess burden.</w:t>
      </w:r>
    </w:p>
    <w:p>
      <w:pPr>
        <w:pStyle w:val="ListParagraph"/>
        <w:numPr>
          <w:ilvl w:val="0"/>
          <w:numId w:val="2"/>
        </w:numPr>
        <w:spacing w:after="70" w:line="276"/>
      </w:pPr>
      <w:r>
        <w:rPr>
          <w:b/>
          <w:bCs/>
        </w:rPr>
        <w:t xml:space="preserve">Perfectly inelastic</w:t>
      </w:r>
      <w:r>
        <w:t xml:space="preserve"> either side → ΔQ = 0 → </w:t>
      </w:r>
      <w:r>
        <w:rPr>
          <w:b/>
          <w:bCs/>
        </w:rPr>
        <w:t xml:space="preserve">no</w:t>
      </w:r>
      <w:r>
        <w:t xml:space="preserve"> excess burden (Rosen 15.9, the TV licence).</w:t>
      </w:r>
    </w:p>
    <w:p>
      <w:pPr>
        <w:pStyle w:val="ListParagraph"/>
        <w:numPr>
          <w:ilvl w:val="0"/>
          <w:numId w:val="2"/>
        </w:numPr>
        <w:spacing w:after="70" w:line="276"/>
      </w:pPr>
      <w:r>
        <w:t xml:space="preserve">Excess burden rises with </w:t>
      </w:r>
      <w:r>
        <w:rPr>
          <w:b/>
          <w:bCs/>
        </w:rPr>
        <w:t xml:space="preserve">t²</w:t>
      </w:r>
      <w:r>
        <w:t xml:space="preserve">: doubling a tax roughly quadruples the waste (Rosen 15.5: raising a rate from 35% to 44% raises EB by (44/35)² − 1 ≈ 58%).</w:t>
      </w:r>
    </w:p>
    <w:p>
      <w:pPr>
        <w:pStyle w:val="Heading1"/>
        <w:keepNext/>
        <w:spacing w:after="140" w:before="380"/>
      </w:pPr>
      <w:r>
        <w:rPr>
          <w:b/>
          <w:bCs/>
          <w:color w:val="1F3864"/>
          <w:sz w:val="30"/>
          <w:szCs w:val="30"/>
        </w:rPr>
        <w:t xml:space="preserve">4. Excess burden at the individual level</w:t>
      </w:r>
      <w:r>
        <w:rPr>
          <w:color w:val="7A8A86"/>
          <w:sz w:val="18"/>
          <w:szCs w:val="18"/>
        </w:rPr>
        <w:t xml:space="preserve">   slides 29–35</w:t>
      </w:r>
    </w:p>
    <w:p>
      <w:pPr>
        <w:spacing w:after="120" w:line="276"/>
      </w:pPr>
      <w:r>
        <w:t xml:space="preserve">A single consumer with fixed income buys cola and beer, and beer is taxed. The key question [31]: </w:t>
      </w:r>
      <w:r>
        <w:rPr>
          <w:b/>
          <w:bCs/>
        </w:rPr>
        <w:t xml:space="preserve">before the tax, how much income could we take away to leave the consumer exactly as well off as after the tax?</w:t>
      </w:r>
      <w:r>
        <w:t xml:space="preserve"> That amount is the </w:t>
      </w:r>
      <w:r>
        <w:rPr>
          <w:b/>
          <w:bCs/>
        </w:rPr>
        <w:t xml:space="preserve">equivalent variation (EV)</w:t>
      </w:r>
      <w:r>
        <w:t xml:space="preserve">.</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excess burden = EV − tax revenue</w:t>
      </w:r>
    </w:p>
    <w:p>
      <w:pPr>
        <w:spacing w:after="120" w:line="276"/>
      </w:pPr>
      <w:r>
        <w:rPr>
          <w:b/>
          <w:bCs/>
        </w:rPr>
        <w:t xml:space="preserve">How to find EV</w:t>
      </w:r>
      <w:r>
        <w:t xml:space="preserve"> [32]: shift the pre-tax budget line down in parallel until it just touches the post-tax indifference curve. The size of the shift is the EV.</w:t>
      </w:r>
    </w:p>
    <w:p>
      <w:pPr>
        <w:spacing w:after="120" w:line="276"/>
      </w:pPr>
      <w:r>
        <w:rPr>
          <w:b/>
          <w:bCs/>
        </w:rPr>
        <w:t xml:space="preserve">Why EV exceeds revenue</w:t>
      </w:r>
      <w:r>
        <w:t xml:space="preserve"> [34–35]: the price rise has two effects.</w:t>
      </w:r>
    </w:p>
    <w:p>
      <w:pPr>
        <w:pStyle w:val="ListParagraph"/>
        <w:numPr>
          <w:ilvl w:val="0"/>
          <w:numId w:val="2"/>
        </w:numPr>
        <w:spacing w:after="70" w:line="276"/>
      </w:pPr>
      <w:r>
        <w:rPr>
          <w:b/>
          <w:bCs/>
        </w:rPr>
        <w:t xml:space="preserve">Income effect</w:t>
      </w:r>
      <w:r>
        <w:t xml:space="preserve">: you can afford less overall. This part corresponds to the revenue.</w:t>
      </w:r>
    </w:p>
    <w:p>
      <w:pPr>
        <w:pStyle w:val="ListParagraph"/>
        <w:numPr>
          <w:ilvl w:val="0"/>
          <w:numId w:val="2"/>
        </w:numPr>
        <w:spacing w:after="70" w:line="276"/>
      </w:pPr>
      <w:r>
        <w:rPr>
          <w:b/>
          <w:bCs/>
        </w:rPr>
        <w:t xml:space="preserve">Substitution effect</w:t>
      </w:r>
      <w:r>
        <w:t xml:space="preserve">: beer is relatively dearer, so you switch towards untaxed goods. That lowers the tax you pay but moves you away from what you prefer.</w:t>
      </w:r>
    </w:p>
    <w:p>
      <w:pPr>
        <w:pBdr>
          <w:left w:val="single" w:color="B4560F" w:sz="16" w:space="8"/>
        </w:pBdr>
        <w:shd w:fill="FBF0E5" w:color="auto" w:val="clear"/>
        <w:spacing w:after="180" w:before="140" w:line="276"/>
        <w:ind w:left="340"/>
      </w:pPr>
      <w:r>
        <w:rPr>
          <w:color w:val="6B3A10"/>
          <w:sz w:val="20"/>
          <w:szCs w:val="20"/>
        </w:rPr>
        <w:t xml:space="preserve">The substitution effect is what creates the excess burden. If the substitution effect is zero, EV = revenue and there is no excess burden.</w:t>
      </w:r>
    </w:p>
    <w:p>
      <w:pPr>
        <w:pStyle w:val="Heading2"/>
        <w:keepNext/>
        <w:spacing w:after="80" w:before="300"/>
      </w:pPr>
      <w:r>
        <w:rPr>
          <w:b/>
          <w:bCs/>
          <w:color w:val="0D6D61"/>
          <w:sz w:val="25"/>
          <w:szCs w:val="25"/>
        </w:rPr>
        <w:t xml:space="preserve">Worked example</w:t>
      </w:r>
      <w:r>
        <w:rPr>
          <w:color w:val="7A8A86"/>
          <w:sz w:val="18"/>
          <w:szCs w:val="18"/>
        </w:rPr>
        <w:t xml:space="preserve">   slide 39</w:t>
      </w:r>
    </w:p>
    <w:p>
      <w:pPr>
        <w:spacing w:after="120" w:line="276"/>
      </w:pPr>
      <w:r>
        <w:t xml:space="preserve">U = √C + 4√B, income 90, P</w:t>
      </w:r>
      <w:r>
        <w:rPr>
          <w:vertAlign w:val="subscript"/>
        </w:rPr>
        <w:t xml:space="preserve">C</w:t>
      </w:r>
      <w:r>
        <w:t xml:space="preserve"> = 1, P</w:t>
      </w:r>
      <w:r>
        <w:rPr>
          <w:vertAlign w:val="subscript"/>
        </w:rPr>
        <w:t xml:space="preserve">B</w:t>
      </w:r>
      <w:r>
        <w:t xml:space="preserve"> = 2, a tax of 2 on B, supply of B perfectly elastic (consumers bear all of it).</w:t>
      </w:r>
    </w:p>
    <w:p>
      <w:pPr>
        <w:pStyle w:val="ListParagraph"/>
        <w:numPr>
          <w:ilvl w:val="0"/>
          <w:numId w:val="4"/>
        </w:numPr>
        <w:spacing w:after="70" w:line="276"/>
      </w:pPr>
      <w:r>
        <w:rPr>
          <w:b/>
          <w:bCs/>
        </w:rPr>
        <w:t xml:space="preserve">Demand rule.</w:t>
      </w:r>
      <w:r>
        <w:t xml:space="preserve"> MRS = (2/√B)/(1/(2√C)) = 4√C/√B = P</w:t>
      </w:r>
      <w:r>
        <w:rPr>
          <w:vertAlign w:val="subscript"/>
        </w:rPr>
        <w:t xml:space="preserve">B</w:t>
      </w:r>
      <w:r>
        <w:t xml:space="preserve">, so C = (P</w:t>
      </w:r>
      <w:r>
        <w:rPr>
          <w:vertAlign w:val="subscript"/>
        </w:rPr>
        <w:t xml:space="preserve">B</w:t>
      </w:r>
      <w:r>
        <w:t xml:space="preserve">²/16) × B.</w:t>
      </w:r>
    </w:p>
    <w:p>
      <w:pPr>
        <w:pStyle w:val="ListParagraph"/>
        <w:numPr>
          <w:ilvl w:val="0"/>
          <w:numId w:val="4"/>
        </w:numPr>
        <w:spacing w:after="70" w:line="276"/>
      </w:pPr>
      <w:r>
        <w:rPr>
          <w:b/>
          <w:bCs/>
        </w:rPr>
        <w:t xml:space="preserve">Before the tax</w:t>
      </w:r>
      <w:r>
        <w:t xml:space="preserve"> (P</w:t>
      </w:r>
      <w:r>
        <w:rPr>
          <w:vertAlign w:val="subscript"/>
        </w:rPr>
        <w:t xml:space="preserve">B</w:t>
      </w:r>
      <w:r>
        <w:t xml:space="preserve"> = 2): C = B/4 and B/4 + 2B = 90, so </w:t>
      </w:r>
      <w:r>
        <w:rPr>
          <w:b/>
          <w:bCs/>
        </w:rPr>
        <w:t xml:space="preserve">B = 40, C = 10</w:t>
      </w:r>
      <w:r>
        <w:t xml:space="preserve">, U₀ = √10 + 4√40 = </w:t>
      </w:r>
      <w:r>
        <w:rPr>
          <w:b/>
          <w:bCs/>
        </w:rPr>
        <w:t xml:space="preserve">28.46</w:t>
      </w:r>
      <w:r>
        <w:t xml:space="preserve">.</w:t>
      </w:r>
    </w:p>
    <w:p>
      <w:pPr>
        <w:pStyle w:val="ListParagraph"/>
        <w:numPr>
          <w:ilvl w:val="0"/>
          <w:numId w:val="4"/>
        </w:numPr>
        <w:spacing w:after="70" w:line="276"/>
      </w:pPr>
      <w:r>
        <w:rPr>
          <w:b/>
          <w:bCs/>
        </w:rPr>
        <w:t xml:space="preserve">After the tax</w:t>
      </w:r>
      <w:r>
        <w:t xml:space="preserve"> (P</w:t>
      </w:r>
      <w:r>
        <w:rPr>
          <w:vertAlign w:val="subscript"/>
        </w:rPr>
        <w:t xml:space="preserve">B</w:t>
      </w:r>
      <w:r>
        <w:t xml:space="preserve"> = 4): C = B and 5B = 90, so </w:t>
      </w:r>
      <w:r>
        <w:rPr>
          <w:b/>
          <w:bCs/>
        </w:rPr>
        <w:t xml:space="preserve">B = 18, C = 18</w:t>
      </w:r>
      <w:r>
        <w:t xml:space="preserve">, U₁ = 5√18 = </w:t>
      </w:r>
      <w:r>
        <w:rPr>
          <w:b/>
          <w:bCs/>
        </w:rPr>
        <w:t xml:space="preserve">21.21</w:t>
      </w:r>
      <w:r>
        <w:t xml:space="preserve">. Revenue = 2 × 18 = </w:t>
      </w:r>
      <w:r>
        <w:rPr>
          <w:b/>
          <w:bCs/>
        </w:rPr>
        <w:t xml:space="preserve">36</w:t>
      </w:r>
      <w:r>
        <w:t xml:space="preserve">.</w:t>
      </w:r>
    </w:p>
    <w:p>
      <w:pPr>
        <w:pStyle w:val="ListParagraph"/>
        <w:numPr>
          <w:ilvl w:val="0"/>
          <w:numId w:val="4"/>
        </w:numPr>
        <w:spacing w:after="70" w:line="276"/>
      </w:pPr>
      <w:r>
        <w:rPr>
          <w:b/>
          <w:bCs/>
        </w:rPr>
        <w:t xml:space="preserve">EV.</w:t>
      </w:r>
      <w:r>
        <w:t xml:space="preserve"> At pre-tax prices, income M′ buys B = 4M′/9 and C = M′/9, giving U = 3√M′. Setting 3√M′ = 21.21 gives M′ = 50, so </w:t>
      </w:r>
      <w:r>
        <w:rPr>
          <w:b/>
          <w:bCs/>
        </w:rPr>
        <w:t xml:space="preserve">EV = 90 − 50 = 40</w:t>
      </w:r>
      <w:r>
        <w:t xml:space="preserve">.</w:t>
      </w:r>
    </w:p>
    <w:p>
      <w:pPr>
        <w:pStyle w:val="ListParagraph"/>
        <w:numPr>
          <w:ilvl w:val="0"/>
          <w:numId w:val="4"/>
        </w:numPr>
        <w:spacing w:after="70" w:line="276"/>
      </w:pPr>
      <w:r>
        <w:rPr>
          <w:b/>
          <w:bCs/>
        </w:rPr>
        <w:t xml:space="preserve">Excess burden = 40 − 36 = 4.</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The tax costs the consumer the equivalent of 40 in income, but raises only 36. The gap of 4 is the excess burden.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638"/>
      </w:tblGrid>
      <w:tr>
        <w:trPr>
          <w:tblHeader/>
        </w:trPr>
        <w:tc>
          <w:tcPr>
            <w:tcW w:type="dxa" w:w="4200"/>
            <w:shd w:fill="DEEAF6" w:color="auto" w:val="clear"/>
            <w:tcMar>
              <w:top w:type="dxa" w:w="60"/>
              <w:left w:type="dxa" w:w="100"/>
              <w:bottom w:type="dxa" w:w="60"/>
              <w:right w:type="dxa" w:w="100"/>
            </w:tcMar>
          </w:tcPr>
          <w:p>
            <w:pPr>
              <w:spacing w:after="0"/>
            </w:pPr>
            <w:r>
              <w:rPr>
                <w:b/>
                <w:bCs/>
                <w:sz w:val="19"/>
                <w:szCs w:val="19"/>
              </w:rPr>
              <w:t xml:space="preserve">Move</w:t>
            </w:r>
          </w:p>
        </w:tc>
        <w:tc>
          <w:tcPr>
            <w:tcW w:type="dxa" w:w="1800"/>
            <w:shd w:fill="DEEAF6" w:color="auto" w:val="clear"/>
            <w:tcMar>
              <w:top w:type="dxa" w:w="60"/>
              <w:left w:type="dxa" w:w="100"/>
              <w:bottom w:type="dxa" w:w="60"/>
              <w:right w:type="dxa" w:w="100"/>
            </w:tcMar>
          </w:tcPr>
          <w:p>
            <w:pPr>
              <w:spacing w:after="0"/>
            </w:pPr>
            <w:r>
              <w:rPr>
                <w:b/>
                <w:bCs/>
                <w:sz w:val="19"/>
                <w:szCs w:val="19"/>
              </w:rPr>
              <w:t xml:space="preserve">Beer</w:t>
            </w:r>
          </w:p>
        </w:tc>
        <w:tc>
          <w:tcPr>
            <w:tcW w:type="dxa" w:w="3638"/>
            <w:shd w:fill="DEEAF6" w:color="auto" w:val="clear"/>
            <w:tcMar>
              <w:top w:type="dxa" w:w="60"/>
              <w:left w:type="dxa" w:w="100"/>
              <w:bottom w:type="dxa" w:w="60"/>
              <w:right w:type="dxa" w:w="100"/>
            </w:tcMar>
          </w:tcPr>
          <w:p>
            <w:pPr>
              <w:spacing w:after="0"/>
            </w:pPr>
            <w:r>
              <w:rPr>
                <w:b/>
                <w:bCs/>
                <w:sz w:val="19"/>
                <w:szCs w:val="19"/>
              </w:rPr>
              <w:t xml:space="preserve">Effect</w:t>
            </w:r>
          </w:p>
        </w:tc>
      </w:tr>
      <w:tr>
        <w:trPr>
          <w:tblHeader w:val="false"/>
        </w:trPr>
        <w:tc>
          <w:tcPr>
            <w:tcW w:type="dxa" w:w="4200"/>
            <w:tcMar>
              <w:top w:type="dxa" w:w="60"/>
              <w:left w:type="dxa" w:w="100"/>
              <w:bottom w:type="dxa" w:w="60"/>
              <w:right w:type="dxa" w:w="100"/>
            </w:tcMar>
          </w:tcPr>
          <w:p>
            <w:pPr>
              <w:spacing w:after="0"/>
            </w:pPr>
            <w:r>
              <w:rPr>
                <w:b/>
                <w:bCs/>
                <w:sz w:val="19"/>
                <w:szCs w:val="19"/>
              </w:rPr>
              <w:t xml:space="preserve">E1 (B = 40) → EV point (B = 22.2)</w:t>
            </w:r>
          </w:p>
        </w:tc>
        <w:tc>
          <w:tcPr>
            <w:tcW w:type="dxa" w:w="1800"/>
            <w:tcMar>
              <w:top w:type="dxa" w:w="60"/>
              <w:left w:type="dxa" w:w="100"/>
              <w:bottom w:type="dxa" w:w="60"/>
              <w:right w:type="dxa" w:w="100"/>
            </w:tcMar>
          </w:tcPr>
          <w:p>
            <w:pPr>
              <w:spacing w:after="0"/>
            </w:pPr>
            <w:r>
              <w:rPr>
                <w:b w:val="false"/>
                <w:bCs w:val="false"/>
                <w:sz w:val="19"/>
                <w:szCs w:val="19"/>
              </w:rPr>
              <w:t xml:space="preserve">−17.8</w:t>
            </w:r>
          </w:p>
        </w:tc>
        <w:tc>
          <w:tcPr>
            <w:tcW w:type="dxa" w:w="3638"/>
            <w:tcMar>
              <w:top w:type="dxa" w:w="60"/>
              <w:left w:type="dxa" w:w="100"/>
              <w:bottom w:type="dxa" w:w="60"/>
              <w:right w:type="dxa" w:w="100"/>
            </w:tcMar>
          </w:tcPr>
          <w:p>
            <w:pPr>
              <w:spacing w:after="0"/>
            </w:pPr>
            <w:r>
              <w:rPr>
                <w:b w:val="false"/>
                <w:bCs w:val="false"/>
                <w:sz w:val="19"/>
                <w:szCs w:val="19"/>
              </w:rPr>
              <w:t xml:space="preserve">income effect, at pre-tax prices</w:t>
            </w:r>
          </w:p>
        </w:tc>
      </w:tr>
      <w:tr>
        <w:trPr>
          <w:tblHeader w:val="false"/>
        </w:trPr>
        <w:tc>
          <w:tcPr>
            <w:tcW w:type="dxa" w:w="4200"/>
            <w:tcMar>
              <w:top w:type="dxa" w:w="60"/>
              <w:left w:type="dxa" w:w="100"/>
              <w:bottom w:type="dxa" w:w="60"/>
              <w:right w:type="dxa" w:w="100"/>
            </w:tcMar>
          </w:tcPr>
          <w:p>
            <w:pPr>
              <w:spacing w:after="0"/>
            </w:pPr>
            <w:r>
              <w:rPr>
                <w:b/>
                <w:bCs/>
                <w:sz w:val="19"/>
                <w:szCs w:val="19"/>
              </w:rPr>
              <w:t xml:space="preserve">EV point (B = 22.2) → E2 (B = 18)</w:t>
            </w:r>
          </w:p>
        </w:tc>
        <w:tc>
          <w:tcPr>
            <w:tcW w:type="dxa" w:w="1800"/>
            <w:tcMar>
              <w:top w:type="dxa" w:w="60"/>
              <w:left w:type="dxa" w:w="100"/>
              <w:bottom w:type="dxa" w:w="60"/>
              <w:right w:type="dxa" w:w="100"/>
            </w:tcMar>
          </w:tcPr>
          <w:p>
            <w:pPr>
              <w:spacing w:after="0"/>
            </w:pPr>
            <w:r>
              <w:rPr>
                <w:b w:val="false"/>
                <w:bCs w:val="false"/>
                <w:sz w:val="19"/>
                <w:szCs w:val="19"/>
              </w:rPr>
              <w:t xml:space="preserve">−4.2</w:t>
            </w:r>
          </w:p>
        </w:tc>
        <w:tc>
          <w:tcPr>
            <w:tcW w:type="dxa" w:w="3638"/>
            <w:tcMar>
              <w:top w:type="dxa" w:w="60"/>
              <w:left w:type="dxa" w:w="100"/>
              <w:bottom w:type="dxa" w:w="60"/>
              <w:right w:type="dxa" w:w="100"/>
            </w:tcMar>
          </w:tcPr>
          <w:p>
            <w:pPr>
              <w:spacing w:after="0"/>
            </w:pPr>
            <w:r>
              <w:rPr>
                <w:b w:val="false"/>
                <w:bCs w:val="false"/>
                <w:sz w:val="19"/>
                <w:szCs w:val="19"/>
              </w:rPr>
              <w:t xml:space="preserve">substitution effect — the source of the excess burden</w:t>
            </w:r>
          </w:p>
        </w:tc>
      </w:tr>
    </w:tbl>
    <w:p>
      <w:pPr>
        <w:spacing w:after="150" w:line="276"/>
      </w:pPr>
    </w:p>
    <w:p>
      <w:pPr>
        <w:pBdr>
          <w:left w:val="single" w:color="B4560F" w:sz="16" w:space="8"/>
        </w:pBdr>
        <w:shd w:fill="FBF0E5" w:color="auto" w:val="clear"/>
        <w:spacing w:after="180" w:before="140" w:line="276"/>
        <w:ind w:left="340"/>
      </w:pPr>
      <w:r>
        <w:rPr>
          <w:color w:val="6B3A10"/>
          <w:sz w:val="20"/>
          <w:szCs w:val="20"/>
        </w:rPr>
        <w:t xml:space="preserve">Practicum 5.2 (Betty) makes the same point in its sharpest form: with Cobb-Douglas utility her hours don't change at all under a 20% income tax, because income and substitution effects cancel. Yet the excess burden is 525.63 − 480 = 45.63, because the substitution effect still exists. No change in behaviour does not mean no excess burden.</w:t>
      </w:r>
    </w:p>
    <w:p>
      <w:pPr>
        <w:pStyle w:val="Heading1"/>
        <w:keepNext/>
        <w:spacing w:after="140" w:before="380"/>
      </w:pPr>
      <w:r>
        <w:rPr>
          <w:b/>
          <w:bCs/>
          <w:color w:val="1F3864"/>
          <w:sz w:val="30"/>
          <w:szCs w:val="30"/>
        </w:rPr>
        <w:t xml:space="preserve">5. Lump-sum taxes</w:t>
      </w:r>
      <w:r>
        <w:rPr>
          <w:color w:val="7A8A86"/>
          <w:sz w:val="18"/>
          <w:szCs w:val="18"/>
        </w:rPr>
        <w:t xml:space="preserve">   slides 36–38</w:t>
      </w:r>
    </w:p>
    <w:p>
      <w:pPr>
        <w:spacing w:after="120" w:line="276"/>
      </w:pPr>
      <w:r>
        <w:t xml:space="preserve">A </w:t>
      </w:r>
      <w:r>
        <w:rPr>
          <w:b/>
          <w:bCs/>
        </w:rPr>
        <w:t xml:space="preserve">lump-sum tax</w:t>
      </w:r>
      <w:r>
        <w:t xml:space="preserve"> is a tax without excess burden. Three equivalent definitions: it does not distort behaviour; its substitution effect is zero; nothing you can do changes what you owe.</w:t>
      </w:r>
    </w:p>
    <w:p>
      <w:pPr>
        <w:pStyle w:val="ListParagraph"/>
        <w:numPr>
          <w:ilvl w:val="0"/>
          <w:numId w:val="2"/>
        </w:numPr>
        <w:spacing w:after="70" w:line="276"/>
      </w:pPr>
      <w:r>
        <w:rPr>
          <w:b/>
          <w:bCs/>
        </w:rPr>
        <w:t xml:space="preserve">An income tax is not lump-sum</w:t>
      </w:r>
      <w:r>
        <w:t xml:space="preserve"> [37]: the budget constraint changes from Y = (T − L)w to Y = (T − L)(1 − t)w, so leisure becomes relatively cheaper.</w:t>
      </w:r>
    </w:p>
    <w:p>
      <w:pPr>
        <w:pStyle w:val="ListParagraph"/>
        <w:numPr>
          <w:ilvl w:val="0"/>
          <w:numId w:val="2"/>
        </w:numPr>
        <w:spacing w:after="70" w:line="276"/>
      </w:pPr>
      <w:r>
        <w:rPr>
          <w:b/>
          <w:bCs/>
        </w:rPr>
        <w:t xml:space="preserve">A head tax is lump-sum</w:t>
      </w:r>
      <w:r>
        <w:t xml:space="preserve"> [38]: you pay a fixed amount for having a head. The main reason it isn't used is </w:t>
      </w:r>
      <w:r>
        <w:rPr>
          <w:b/>
          <w:bCs/>
        </w:rPr>
        <w:t xml:space="preserve">fairness</w:t>
      </w:r>
      <w:r>
        <w:t xml:space="preserve"> — rich and poor pay the same, so it is extremely regressive.</w:t>
      </w:r>
    </w:p>
    <w:p>
      <w:pPr>
        <w:spacing w:after="120" w:line="276"/>
      </w:pPr>
      <w:r>
        <w:t xml:space="preserve">This is the same reason the second fundamental theorem's lump-sum redistribution stays theoretical (week 4).</w:t>
      </w:r>
    </w:p>
    <w:p>
      <w:pPr>
        <w:pStyle w:val="Heading1"/>
        <w:keepNext/>
        <w:spacing w:after="140" w:before="380"/>
      </w:pPr>
      <w:r>
        <w:rPr>
          <w:b/>
          <w:bCs/>
          <w:color w:val="1F3864"/>
          <w:sz w:val="30"/>
          <w:szCs w:val="30"/>
        </w:rPr>
        <w:t xml:space="preserve">6. Rosen and practicum results worth remembering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DEEAF6" w:color="auto" w:val="clear"/>
            <w:tcMar>
              <w:top w:type="dxa" w:w="60"/>
              <w:left w:type="dxa" w:w="100"/>
              <w:bottom w:type="dxa" w:w="60"/>
              <w:right w:type="dxa" w:w="100"/>
            </w:tcMar>
          </w:tcPr>
          <w:p>
            <w:pPr>
              <w:spacing w:after="0"/>
            </w:pPr>
            <w:r>
              <w:rPr>
                <w:b/>
                <w:bCs/>
                <w:sz w:val="19"/>
                <w:szCs w:val="19"/>
              </w:rPr>
              <w:t xml:space="preserve">Exercise</w:t>
            </w:r>
          </w:p>
        </w:tc>
        <w:tc>
          <w:tcPr>
            <w:tcW w:type="dxa" w:w="7638"/>
            <w:shd w:fill="DEEAF6" w:color="auto" w:val="clear"/>
            <w:tcMar>
              <w:top w:type="dxa" w:w="60"/>
              <w:left w:type="dxa" w:w="100"/>
              <w:bottom w:type="dxa" w:w="60"/>
              <w:right w:type="dxa" w:w="100"/>
            </w:tcMar>
          </w:tcPr>
          <w:p>
            <w:pPr>
              <w:spacing w:after="0"/>
            </w:pPr>
            <w:r>
              <w:rPr>
                <w:b/>
                <w:bCs/>
                <w:sz w:val="19"/>
                <w:szCs w:val="19"/>
              </w:rPr>
              <w:t xml:space="preserve">Result</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Rosen 14.3</w:t>
            </w:r>
          </w:p>
        </w:tc>
        <w:tc>
          <w:tcPr>
            <w:tcW w:type="dxa" w:w="7638"/>
            <w:tcMar>
              <w:top w:type="dxa" w:w="60"/>
              <w:left w:type="dxa" w:w="100"/>
              <w:bottom w:type="dxa" w:w="60"/>
              <w:right w:type="dxa" w:w="100"/>
            </w:tcMar>
          </w:tcPr>
          <w:p>
            <w:pPr>
              <w:spacing w:after="0"/>
            </w:pPr>
            <w:r>
              <w:rPr>
                <w:b w:val="false"/>
                <w:bCs w:val="false"/>
                <w:sz w:val="19"/>
                <w:szCs w:val="19"/>
              </w:rPr>
              <w:t xml:space="preserve">Constant cost, linear demand: a unit tax u raises price by u under competition but only u/2 under monopoly</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Rosen 14.5</w:t>
            </w:r>
          </w:p>
        </w:tc>
        <w:tc>
          <w:tcPr>
            <w:tcW w:type="dxa" w:w="7638"/>
            <w:tcMar>
              <w:top w:type="dxa" w:w="60"/>
              <w:left w:type="dxa" w:w="100"/>
              <w:bottom w:type="dxa" w:w="60"/>
              <w:right w:type="dxa" w:w="100"/>
            </w:tcMar>
          </w:tcPr>
          <w:p>
            <w:pPr>
              <w:spacing w:after="0"/>
            </w:pPr>
            <w:r>
              <w:rPr>
                <w:b w:val="false"/>
                <w:bCs w:val="false"/>
                <w:sz w:val="19"/>
                <w:szCs w:val="19"/>
              </w:rPr>
              <w:t xml:space="preserve">Liquor: P rises 10 → 10.60, producers keep 9.60; consumers bear 60% because ε_s = 1.0 vs |ε_d| = 0.67</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Rosen 15.11</w:t>
            </w:r>
          </w:p>
        </w:tc>
        <w:tc>
          <w:tcPr>
            <w:tcW w:type="dxa" w:w="7638"/>
            <w:tcMar>
              <w:top w:type="dxa" w:w="60"/>
              <w:left w:type="dxa" w:w="100"/>
              <w:bottom w:type="dxa" w:w="60"/>
              <w:right w:type="dxa" w:w="100"/>
            </w:tcMar>
          </w:tcPr>
          <w:p>
            <w:pPr>
              <w:spacing w:after="0"/>
            </w:pPr>
            <w:r>
              <w:rPr>
                <w:b w:val="false"/>
                <w:bCs w:val="false"/>
                <w:sz w:val="19"/>
                <w:szCs w:val="19"/>
              </w:rPr>
              <w:t xml:space="preserve">A tax of 6 on corporate capital moves 2 units to the less productive sector; EB = ½ × 6 × 2 = 6</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Rosen 15.12</w:t>
            </w:r>
          </w:p>
        </w:tc>
        <w:tc>
          <w:tcPr>
            <w:tcW w:type="dxa" w:w="7638"/>
            <w:tcMar>
              <w:top w:type="dxa" w:w="60"/>
              <w:left w:type="dxa" w:w="100"/>
              <w:bottom w:type="dxa" w:w="60"/>
              <w:right w:type="dxa" w:w="100"/>
            </w:tcMar>
          </w:tcPr>
          <w:p>
            <w:pPr>
              <w:spacing w:after="0"/>
            </w:pPr>
            <w:r>
              <w:rPr>
                <w:b w:val="false"/>
                <w:bCs w:val="false"/>
                <w:sz w:val="19"/>
                <w:szCs w:val="19"/>
              </w:rPr>
              <w:t xml:space="preserve">Liquor EB = ½ × 12,000 × $1 = $6,000; smaller if drinking has an external cost</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Practicum 5.3</w:t>
            </w:r>
          </w:p>
        </w:tc>
        <w:tc>
          <w:tcPr>
            <w:tcW w:type="dxa" w:w="7638"/>
            <w:tcMar>
              <w:top w:type="dxa" w:w="60"/>
              <w:left w:type="dxa" w:w="100"/>
              <w:bottom w:type="dxa" w:w="60"/>
              <w:right w:type="dxa" w:w="100"/>
            </w:tcMar>
          </w:tcPr>
          <w:p>
            <w:pPr>
              <w:spacing w:after="0"/>
            </w:pPr>
            <w:r>
              <w:rPr>
                <w:b w:val="false"/>
                <w:bCs w:val="false"/>
                <w:sz w:val="19"/>
                <w:szCs w:val="19"/>
              </w:rPr>
              <w:t xml:space="preserve">Harry's budget line rotates through his old choice: a pure substitution effect, so he works less</w:t>
            </w:r>
          </w:p>
        </w:tc>
      </w:tr>
      <w:tr>
        <w:trPr>
          <w:tblHeader w:val="false"/>
        </w:trPr>
        <w:tc>
          <w:tcPr>
            <w:tcW w:type="dxa" w:w="2000"/>
            <w:tcMar>
              <w:top w:type="dxa" w:w="60"/>
              <w:left w:type="dxa" w:w="100"/>
              <w:bottom w:type="dxa" w:w="60"/>
              <w:right w:type="dxa" w:w="100"/>
            </w:tcMar>
          </w:tcPr>
          <w:p>
            <w:pPr>
              <w:spacing w:after="0"/>
            </w:pPr>
            <w:r>
              <w:rPr>
                <w:b/>
                <w:bCs/>
                <w:sz w:val="19"/>
                <w:szCs w:val="19"/>
              </w:rPr>
              <w:t xml:space="preserve">Practicum 5.4</w:t>
            </w:r>
          </w:p>
        </w:tc>
        <w:tc>
          <w:tcPr>
            <w:tcW w:type="dxa" w:w="7638"/>
            <w:tcMar>
              <w:top w:type="dxa" w:w="60"/>
              <w:left w:type="dxa" w:w="100"/>
              <w:bottom w:type="dxa" w:w="60"/>
              <w:right w:type="dxa" w:w="100"/>
            </w:tcMar>
          </w:tcPr>
          <w:p>
            <w:pPr>
              <w:spacing w:after="0"/>
            </w:pPr>
            <w:r>
              <w:rPr>
                <w:b w:val="false"/>
                <w:bCs w:val="false"/>
                <w:sz w:val="19"/>
                <w:szCs w:val="19"/>
              </w:rPr>
              <w:t xml:space="preserve">Raising 800 for a park worth 1000 costs 800 + 400 excess burden = 1200: don't build it</w:t>
            </w:r>
          </w:p>
        </w:tc>
      </w:tr>
    </w:tbl>
    <w:p>
      <w:pPr>
        <w:spacing w:after="150" w:line="276"/>
      </w:pPr>
    </w:p>
    <w:p>
      <w:pPr>
        <w:pStyle w:val="Heading1"/>
        <w:keepNext/>
        <w:spacing w:after="140" w:before="380"/>
      </w:pPr>
      <w:r>
        <w:rPr>
          <w:b/>
          <w:bCs/>
          <w:color w:val="1F3864"/>
          <w:sz w:val="30"/>
          <w:szCs w:val="30"/>
        </w:rPr>
        <w:t xml:space="preserve">7. Pigouvian taxes and subsidies</w:t>
      </w:r>
      <w:r>
        <w:rPr>
          <w:color w:val="7A8A86"/>
          <w:sz w:val="18"/>
          <w:szCs w:val="18"/>
        </w:rPr>
        <w:t xml:space="preserve">   Lecture 2, slides 25–31; Practicum 2</w:t>
      </w:r>
    </w:p>
    <w:p>
      <w:pPr>
        <w:spacing w:after="120" w:line="276"/>
      </w:pPr>
      <w:r>
        <w:t xml:space="preserve">Almost every tax creates an excess burden because it distorts a market that was working. A </w:t>
      </w:r>
      <w:r>
        <w:rPr>
          <w:b/>
          <w:bCs/>
        </w:rPr>
        <w:t xml:space="preserve">Pigouvian</w:t>
      </w:r>
      <w:r>
        <w:t xml:space="preserve"> tax or subsidy is the exception: it is aimed at a market that is </w:t>
      </w:r>
      <w:r>
        <w:rPr>
          <w:b/>
          <w:bCs/>
        </w:rPr>
        <w:t xml:space="preserve">already</w:t>
      </w:r>
      <w:r>
        <w:t xml:space="preserve"> distorted by an externality, and it </w:t>
      </w:r>
      <w:r>
        <w:rPr>
          <w:b/>
          <w:bCs/>
        </w:rPr>
        <w:t xml:space="preserve">removes</w:t>
      </w:r>
      <w:r>
        <w:t xml:space="preserve"> a distortion rather than creating one.</w:t>
      </w:r>
    </w:p>
    <w:p>
      <w:pPr>
        <w:pBdr>
          <w:left w:val="single" w:color="B4560F" w:sz="16" w:space="8"/>
        </w:pBdr>
        <w:shd w:fill="FBF0E5" w:color="auto" w:val="clear"/>
        <w:spacing w:after="180" w:before="140" w:line="276"/>
        <w:ind w:left="340"/>
      </w:pPr>
      <w:r>
        <w:rPr>
          <w:color w:val="6B3A10"/>
          <w:sz w:val="20"/>
          <w:szCs w:val="20"/>
        </w:rPr>
        <w:t xml:space="preserve">The idea: an externality exists because one party doesn't pay (or isn't paid) for a side-effect. A Pigouvian instrument puts a price on the side-effect, so the decision-maker internalises it and chooses the socially efficient quantity by themselves.</w:t>
      </w:r>
    </w:p>
    <w:p>
      <w:pPr>
        <w:pStyle w:val="Heading2"/>
        <w:keepNext/>
        <w:spacing w:after="80" w:before="300"/>
      </w:pPr>
      <w:r>
        <w:rPr>
          <w:b/>
          <w:bCs/>
          <w:color w:val="0D6D61"/>
          <w:sz w:val="25"/>
          <w:szCs w:val="25"/>
        </w:rPr>
        <w:t xml:space="preserve">The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shd w:fill="DEEAF6" w:color="auto" w:val="clear"/>
            <w:tcMar>
              <w:top w:type="dxa" w:w="60"/>
              <w:left w:type="dxa" w:w="100"/>
              <w:bottom w:type="dxa" w:w="60"/>
              <w:right w:type="dxa" w:w="100"/>
            </w:tcMar>
          </w:tcPr>
          <w:p>
            <w:pPr>
              <w:spacing w:after="0"/>
            </w:pPr>
            <w:r>
              <w:rPr>
                <w:b/>
                <w:bCs/>
                <w:sz w:val="19"/>
                <w:szCs w:val="19"/>
              </w:rPr>
              <w:t xml:space="preserve">Externality</w:t>
            </w:r>
          </w:p>
        </w:tc>
        <w:tc>
          <w:tcPr>
            <w:tcW w:type="dxa" w:w="3700"/>
            <w:shd w:fill="DEEAF6" w:color="auto" w:val="clear"/>
            <w:tcMar>
              <w:top w:type="dxa" w:w="60"/>
              <w:left w:type="dxa" w:w="100"/>
              <w:bottom w:type="dxa" w:w="60"/>
              <w:right w:type="dxa" w:w="100"/>
            </w:tcMar>
          </w:tcPr>
          <w:p>
            <w:pPr>
              <w:spacing w:after="0"/>
            </w:pPr>
            <w:r>
              <w:rPr>
                <w:b/>
                <w:bCs/>
                <w:sz w:val="19"/>
                <w:szCs w:val="19"/>
              </w:rPr>
              <w:t xml:space="preserve">Instrument</w:t>
            </w:r>
          </w:p>
        </w:tc>
        <w:tc>
          <w:tcPr>
            <w:tcW w:type="dxa" w:w="3638"/>
            <w:shd w:fill="DEEAF6" w:color="auto" w:val="clear"/>
            <w:tcMar>
              <w:top w:type="dxa" w:w="60"/>
              <w:left w:type="dxa" w:w="100"/>
              <w:bottom w:type="dxa" w:w="60"/>
              <w:right w:type="dxa" w:w="100"/>
            </w:tcMar>
          </w:tcPr>
          <w:p>
            <w:pPr>
              <w:spacing w:after="0"/>
            </w:pPr>
            <w:r>
              <w:rPr>
                <w:b/>
                <w:bCs/>
                <w:sz w:val="19"/>
                <w:szCs w:val="19"/>
              </w:rPr>
              <w:t xml:space="preserve">Set it equal to</w:t>
            </w:r>
          </w:p>
        </w:tc>
      </w:tr>
      <w:tr>
        <w:trPr>
          <w:tblHeader w:val="false"/>
        </w:trPr>
        <w:tc>
          <w:tcPr>
            <w:tcW w:type="dxa" w:w="2300"/>
            <w:tcMar>
              <w:top w:type="dxa" w:w="60"/>
              <w:left w:type="dxa" w:w="100"/>
              <w:bottom w:type="dxa" w:w="60"/>
              <w:right w:type="dxa" w:w="100"/>
            </w:tcMar>
          </w:tcPr>
          <w:p>
            <w:pPr>
              <w:spacing w:after="0"/>
            </w:pPr>
            <w:r>
              <w:rPr>
                <w:b/>
                <w:bCs/>
                <w:sz w:val="19"/>
                <w:szCs w:val="19"/>
              </w:rPr>
              <w:t xml:space="preserve">Negative (pollution)</w:t>
            </w:r>
          </w:p>
        </w:tc>
        <w:tc>
          <w:tcPr>
            <w:tcW w:type="dxa" w:w="3700"/>
            <w:tcMar>
              <w:top w:type="dxa" w:w="60"/>
              <w:left w:type="dxa" w:w="100"/>
              <w:bottom w:type="dxa" w:w="60"/>
              <w:right w:type="dxa" w:w="100"/>
            </w:tcMar>
          </w:tcPr>
          <w:p>
            <w:pPr>
              <w:spacing w:after="0"/>
            </w:pPr>
            <w:r>
              <w:rPr>
                <w:b w:val="false"/>
                <w:bCs w:val="false"/>
                <w:sz w:val="19"/>
                <w:szCs w:val="19"/>
              </w:rPr>
              <w:t xml:space="preserve">Pigouvian tax per unit of output</w:t>
            </w:r>
          </w:p>
        </w:tc>
        <w:tc>
          <w:tcPr>
            <w:tcW w:type="dxa" w:w="3638"/>
            <w:tcMar>
              <w:top w:type="dxa" w:w="60"/>
              <w:left w:type="dxa" w:w="100"/>
              <w:bottom w:type="dxa" w:w="60"/>
              <w:right w:type="dxa" w:w="100"/>
            </w:tcMar>
          </w:tcPr>
          <w:p>
            <w:pPr>
              <w:spacing w:after="0"/>
            </w:pPr>
            <w:r>
              <w:rPr>
                <w:b w:val="false"/>
                <w:bCs w:val="false"/>
                <w:sz w:val="19"/>
                <w:szCs w:val="19"/>
              </w:rPr>
              <w:t xml:space="preserve">marginal damage MD at the efficient Q*</w:t>
            </w:r>
          </w:p>
        </w:tc>
      </w:tr>
      <w:tr>
        <w:trPr>
          <w:tblHeader w:val="false"/>
        </w:trPr>
        <w:tc>
          <w:tcPr>
            <w:tcW w:type="dxa" w:w="2300"/>
            <w:tcMar>
              <w:top w:type="dxa" w:w="60"/>
              <w:left w:type="dxa" w:w="100"/>
              <w:bottom w:type="dxa" w:w="60"/>
              <w:right w:type="dxa" w:w="100"/>
            </w:tcMar>
          </w:tcPr>
          <w:p>
            <w:pPr>
              <w:spacing w:after="0"/>
            </w:pPr>
            <w:r>
              <w:rPr>
                <w:b/>
                <w:bCs/>
                <w:sz w:val="19"/>
                <w:szCs w:val="19"/>
              </w:rPr>
              <w:t xml:space="preserve">Positive (education, R&amp;D)</w:t>
            </w:r>
          </w:p>
        </w:tc>
        <w:tc>
          <w:tcPr>
            <w:tcW w:type="dxa" w:w="3700"/>
            <w:tcMar>
              <w:top w:type="dxa" w:w="60"/>
              <w:left w:type="dxa" w:w="100"/>
              <w:bottom w:type="dxa" w:w="60"/>
              <w:right w:type="dxa" w:w="100"/>
            </w:tcMar>
          </w:tcPr>
          <w:p>
            <w:pPr>
              <w:spacing w:after="0"/>
            </w:pPr>
            <w:r>
              <w:rPr>
                <w:b w:val="false"/>
                <w:bCs w:val="false"/>
                <w:sz w:val="19"/>
                <w:szCs w:val="19"/>
              </w:rPr>
              <w:t xml:space="preserve">Pigouvian subsidy per unit</w:t>
            </w:r>
          </w:p>
        </w:tc>
        <w:tc>
          <w:tcPr>
            <w:tcW w:type="dxa" w:w="3638"/>
            <w:tcMar>
              <w:top w:type="dxa" w:w="60"/>
              <w:left w:type="dxa" w:w="100"/>
              <w:bottom w:type="dxa" w:w="60"/>
              <w:right w:type="dxa" w:w="100"/>
            </w:tcMar>
          </w:tcPr>
          <w:p>
            <w:pPr>
              <w:spacing w:after="0"/>
            </w:pPr>
            <w:r>
              <w:rPr>
                <w:b w:val="false"/>
                <w:bCs w:val="false"/>
                <w:sz w:val="19"/>
                <w:szCs w:val="19"/>
              </w:rPr>
              <w:t xml:space="preserve">marginal external benefit MEB at the efficient Q*</w:t>
            </w:r>
          </w:p>
        </w:tc>
      </w:tr>
      <w:tr>
        <w:trPr>
          <w:tblHeader w:val="false"/>
        </w:trPr>
        <w:tc>
          <w:tcPr>
            <w:tcW w:type="dxa" w:w="2300"/>
            <w:tcMar>
              <w:top w:type="dxa" w:w="60"/>
              <w:left w:type="dxa" w:w="100"/>
              <w:bottom w:type="dxa" w:w="60"/>
              <w:right w:type="dxa" w:w="100"/>
            </w:tcMar>
          </w:tcPr>
          <w:p>
            <w:pPr>
              <w:spacing w:after="0"/>
            </w:pPr>
            <w:r>
              <w:rPr>
                <w:b/>
                <w:bCs/>
                <w:sz w:val="19"/>
                <w:szCs w:val="19"/>
              </w:rPr>
              <w:t xml:space="preserve">Negative, alternative</w:t>
            </w:r>
          </w:p>
        </w:tc>
        <w:tc>
          <w:tcPr>
            <w:tcW w:type="dxa" w:w="3700"/>
            <w:tcMar>
              <w:top w:type="dxa" w:w="60"/>
              <w:left w:type="dxa" w:w="100"/>
              <w:bottom w:type="dxa" w:w="60"/>
              <w:right w:type="dxa" w:w="100"/>
            </w:tcMar>
          </w:tcPr>
          <w:p>
            <w:pPr>
              <w:spacing w:after="0"/>
            </w:pPr>
            <w:r>
              <w:rPr>
                <w:b w:val="false"/>
                <w:bCs w:val="false"/>
                <w:sz w:val="19"/>
                <w:szCs w:val="19"/>
              </w:rPr>
              <w:t xml:space="preserve">subsidy per unit of reduction below the market level</w:t>
            </w:r>
          </w:p>
        </w:tc>
        <w:tc>
          <w:tcPr>
            <w:tcW w:type="dxa" w:w="3638"/>
            <w:tcMar>
              <w:top w:type="dxa" w:w="60"/>
              <w:left w:type="dxa" w:w="100"/>
              <w:bottom w:type="dxa" w:w="60"/>
              <w:right w:type="dxa" w:w="100"/>
            </w:tcMar>
          </w:tcPr>
          <w:p>
            <w:pPr>
              <w:spacing w:after="0"/>
            </w:pPr>
            <w:r>
              <w:rPr>
                <w:b w:val="false"/>
                <w:bCs w:val="false"/>
                <w:sz w:val="19"/>
                <w:szCs w:val="19"/>
              </w:rPr>
              <w:t xml:space="preserve">MD at the efficient Q*</w:t>
            </w:r>
          </w:p>
        </w:tc>
      </w:tr>
    </w:tbl>
    <w:p>
      <w:pPr>
        <w:spacing w:after="150" w:line="276"/>
      </w:pPr>
    </w:p>
    <w:p>
      <w:pPr>
        <w:pBdr>
          <w:left w:val="single" w:color="B4560F" w:sz="16" w:space="8"/>
        </w:pBdr>
        <w:shd w:fill="FBF0E5" w:color="auto" w:val="clear"/>
        <w:spacing w:after="180" w:before="140" w:line="276"/>
        <w:ind w:left="340"/>
      </w:pPr>
      <w:r>
        <w:rPr>
          <w:color w:val="6B3A10"/>
          <w:sz w:val="20"/>
          <w:szCs w:val="20"/>
        </w:rPr>
        <w:t xml:space="preserve">Always at the EFFICIENT quantity Q*, never at the market quantity. When MD changes with Q, using MD at the market quantity sets the wrong tax.</w:t>
      </w:r>
    </w:p>
    <w:p>
      <w:pPr>
        <w:pStyle w:val="Heading2"/>
        <w:keepNext/>
        <w:spacing w:after="80" w:before="300"/>
      </w:pPr>
      <w:r>
        <w:rPr>
          <w:b/>
          <w:bCs/>
          <w:color w:val="0D6D61"/>
          <w:sz w:val="25"/>
          <w:szCs w:val="25"/>
        </w:rPr>
        <w:t xml:space="preserve">How to calculate a Pigouvian tax: step by step</w:t>
      </w:r>
    </w:p>
    <w:p>
      <w:pPr>
        <w:pStyle w:val="ListParagraph"/>
        <w:numPr>
          <w:ilvl w:val="0"/>
          <w:numId w:val="5"/>
        </w:numPr>
        <w:spacing w:after="70" w:line="276"/>
      </w:pPr>
      <w:r>
        <w:t xml:space="preserve">Write down </w:t>
      </w:r>
      <w:r>
        <w:rPr>
          <w:b/>
          <w:bCs/>
        </w:rPr>
        <w:t xml:space="preserve">MPB</w:t>
      </w:r>
      <w:r>
        <w:t xml:space="preserve"> (private benefit), </w:t>
      </w:r>
      <w:r>
        <w:rPr>
          <w:b/>
          <w:bCs/>
        </w:rPr>
        <w:t xml:space="preserve">MPC</w:t>
      </w:r>
      <w:r>
        <w:t xml:space="preserve"> (private cost) and </w:t>
      </w:r>
      <w:r>
        <w:rPr>
          <w:b/>
          <w:bCs/>
        </w:rPr>
        <w:t xml:space="preserve">MD</w:t>
      </w:r>
      <w:r>
        <w:t xml:space="preserve"> (marginal damage). If you are given total damage D, differentiate it: MD = dD/dQ.</w:t>
      </w:r>
    </w:p>
    <w:p>
      <w:pPr>
        <w:pStyle w:val="ListParagraph"/>
        <w:numPr>
          <w:ilvl w:val="0"/>
          <w:numId w:val="5"/>
        </w:numPr>
        <w:spacing w:after="70" w:line="276"/>
      </w:pPr>
      <w:r>
        <w:t xml:space="preserve">Build social cost: </w:t>
      </w:r>
      <w:r>
        <w:rPr>
          <w:b/>
          <w:bCs/>
        </w:rPr>
        <w:t xml:space="preserve">MSC = MPC + MD</w:t>
      </w:r>
      <w:r>
        <w:t xml:space="preserve">. Social benefit is MSB = MPB (no external benefit).</w:t>
      </w:r>
    </w:p>
    <w:p>
      <w:pPr>
        <w:pStyle w:val="ListParagraph"/>
        <w:numPr>
          <w:ilvl w:val="0"/>
          <w:numId w:val="5"/>
        </w:numPr>
        <w:spacing w:after="70" w:line="276"/>
      </w:pPr>
      <w:r>
        <w:t xml:space="preserve">Find the </w:t>
      </w:r>
      <w:r>
        <w:rPr>
          <w:b/>
          <w:bCs/>
        </w:rPr>
        <w:t xml:space="preserve">market outcome</w:t>
      </w:r>
      <w:r>
        <w:t xml:space="preserve">: MPB = MPC gives Q</w:t>
      </w:r>
      <w:r>
        <w:rPr>
          <w:vertAlign w:val="subscript"/>
        </w:rPr>
        <w:t xml:space="preserve">P</w:t>
      </w:r>
      <w:r>
        <w:t xml:space="preserve">.</w:t>
      </w:r>
    </w:p>
    <w:p>
      <w:pPr>
        <w:pStyle w:val="ListParagraph"/>
        <w:numPr>
          <w:ilvl w:val="0"/>
          <w:numId w:val="5"/>
        </w:numPr>
        <w:spacing w:after="70" w:line="276"/>
      </w:pPr>
      <w:r>
        <w:t xml:space="preserve">Find the </w:t>
      </w:r>
      <w:r>
        <w:rPr>
          <w:b/>
          <w:bCs/>
        </w:rPr>
        <w:t xml:space="preserve">efficient outcome</w:t>
      </w:r>
      <w:r>
        <w:t xml:space="preserve">: MSB = MSC, i.e. </w:t>
      </w:r>
      <w:r>
        <w:rPr>
          <w:b/>
          <w:bCs/>
        </w:rPr>
        <w:t xml:space="preserve">MPB = MPC + MD</w:t>
      </w:r>
      <w:r>
        <w:t xml:space="preserve">, gives Q*.</w:t>
      </w:r>
    </w:p>
    <w:p>
      <w:pPr>
        <w:pStyle w:val="ListParagraph"/>
        <w:numPr>
          <w:ilvl w:val="0"/>
          <w:numId w:val="5"/>
        </w:numPr>
        <w:spacing w:after="70" w:line="276"/>
      </w:pPr>
      <w:r>
        <w:rPr>
          <w:b/>
          <w:bCs/>
        </w:rPr>
        <w:t xml:space="preserve">Tax</w:t>
      </w:r>
      <w:r>
        <w:t xml:space="preserve"> = MD evaluated at Q*.</w:t>
      </w:r>
    </w:p>
    <w:p>
      <w:pPr>
        <w:pStyle w:val="ListParagraph"/>
        <w:numPr>
          <w:ilvl w:val="0"/>
          <w:numId w:val="5"/>
        </w:numPr>
        <w:spacing w:after="70" w:line="276"/>
      </w:pPr>
      <w:r>
        <w:rPr>
          <w:b/>
          <w:bCs/>
        </w:rPr>
        <w:t xml:space="preserve">Check</w:t>
      </w:r>
      <w:r>
        <w:t xml:space="preserve">: the firm now sets MPB = MPC + tax. That must give Q*.</w:t>
      </w:r>
    </w:p>
    <w:p>
      <w:pPr>
        <w:pStyle w:val="Heading3"/>
        <w:keepNext/>
        <w:spacing w:after="70" w:before="220"/>
      </w:pPr>
      <w:r>
        <w:rPr>
          <w:b/>
          <w:bCs/>
          <w:color w:val="44546A"/>
          <w:sz w:val="22"/>
          <w:szCs w:val="22"/>
        </w:rPr>
        <w:t xml:space="preserve">Worked example 1: paint (Practicum 2.2)</w:t>
      </w:r>
    </w:p>
    <w:p>
      <w:pPr>
        <w:spacing w:after="120" w:line="276"/>
      </w:pPr>
      <w:r>
        <w:t xml:space="preserve">MPB = 10 (fixed price), cost 10 + Q², emissions W = ¼Q, damage D = 4W².</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MPC = d(10 + Q²)/dQ = 2Q</w:t>
      </w:r>
      <w:r>
        <w:br/>
      </w:r>
      <w:r>
        <w:rPr>
          <w:rFonts w:ascii="Cambria Math" w:cs="Cambria Math" w:eastAsia="Cambria Math" w:hAnsi="Cambria Math"/>
          <w:sz w:val="22"/>
          <w:szCs w:val="22"/>
        </w:rPr>
        <w:t xml:space="preserve">D = 4(¼Q)² = ¼Q²  →  MD = ½Q</w:t>
      </w:r>
      <w:r>
        <w:br/>
      </w:r>
      <w:r>
        <w:rPr>
          <w:rFonts w:ascii="Cambria Math" w:cs="Cambria Math" w:eastAsia="Cambria Math" w:hAnsi="Cambria Math"/>
          <w:sz w:val="22"/>
          <w:szCs w:val="22"/>
        </w:rPr>
        <w:t xml:space="preserve">MSC = 2Q + ½Q = 2.5Q</w:t>
      </w:r>
      <w:r>
        <w:br/>
      </w:r>
      <w:r>
        <w:rPr>
          <w:rFonts w:ascii="Cambria Math" w:cs="Cambria Math" w:eastAsia="Cambria Math" w:hAnsi="Cambria Math"/>
          <w:sz w:val="22"/>
          <w:szCs w:val="22"/>
        </w:rPr>
        <w:t xml:space="preserve">market:   10 = 2Q  →  Q</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rPr>
        <w:t xml:space="preserve"> = 5</w:t>
      </w:r>
      <w:r>
        <w:br/>
      </w:r>
      <w:r>
        <w:rPr>
          <w:rFonts w:ascii="Cambria Math" w:cs="Cambria Math" w:eastAsia="Cambria Math" w:hAnsi="Cambria Math"/>
          <w:sz w:val="22"/>
          <w:szCs w:val="22"/>
        </w:rPr>
        <w:t xml:space="preserve">efficient:   10 = 2.5Q  →  Q* = 4</w:t>
      </w:r>
      <w:r>
        <w:br/>
      </w:r>
      <w:r>
        <w:rPr>
          <w:rFonts w:ascii="Cambria Math" w:cs="Cambria Math" w:eastAsia="Cambria Math" w:hAnsi="Cambria Math"/>
          <w:sz w:val="22"/>
          <w:szCs w:val="22"/>
        </w:rPr>
        <w:t xml:space="preserve">tax = MD(4) = ½ × 4 = 2</w:t>
      </w:r>
      <w:r>
        <w:br/>
      </w:r>
      <w:r>
        <w:rPr>
          <w:rFonts w:ascii="Cambria Math" w:cs="Cambria Math" w:eastAsia="Cambria Math" w:hAnsi="Cambria Math"/>
          <w:sz w:val="22"/>
          <w:szCs w:val="22"/>
        </w:rPr>
        <w:t xml:space="preserve">check:   10 = 2Q + 2  →  Q = 4 ✓</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The tax shifts MPC up by MD(Q*) = 2, so the new private cost curve passes through the efficient point.</w:t>
      </w:r>
    </w:p>
    <w:p>
      <w:pPr>
        <w:spacing w:after="120" w:line="276"/>
      </w:pPr>
      <w:r>
        <w:rPr>
          <w:b/>
          <w:bCs/>
        </w:rPr>
        <w:t xml:space="preserve">Revenue</w:t>
      </w:r>
      <w:r>
        <w:t xml:space="preserve"> = 2 × 4 = 8. </w:t>
      </w:r>
      <w:r>
        <w:rPr>
          <w:b/>
          <w:bCs/>
        </w:rPr>
        <w:t xml:space="preserve">Welfare gain</w:t>
      </w:r>
      <w:r>
        <w:t xml:space="preserve"> = the triangle removed between MSC and MPB over Q = 4 to 5: ½ × 1 × 2.5 = </w:t>
      </w:r>
      <w:r>
        <w:rPr>
          <w:b/>
          <w:bCs/>
        </w:rPr>
        <w:t xml:space="preserve">1.25</w:t>
      </w:r>
      <w:r>
        <w:t xml:space="preserve"> (profit falls 15 → 14, damage falls 6.25 → 4, net +1.25).</w:t>
      </w:r>
    </w:p>
    <w:p>
      <w:pPr>
        <w:pBdr>
          <w:left w:val="single" w:color="B4560F" w:sz="16" w:space="8"/>
        </w:pBdr>
        <w:shd w:fill="FBF0E5" w:color="auto" w:val="clear"/>
        <w:spacing w:after="180" w:before="140" w:line="276"/>
        <w:ind w:left="340"/>
      </w:pPr>
      <w:r>
        <w:rPr>
          <w:color w:val="6B3A10"/>
          <w:sz w:val="20"/>
          <w:szCs w:val="20"/>
        </w:rPr>
        <w:t xml:space="preserve">Why not use MD at the market quantity? MD(5) = 2.5, and 10 = 2Q + 2.5 gives Q = 3.75 — too little. Because damage rises with output here, the right tax is the damage of the last unit you WANT produced.</w:t>
      </w:r>
    </w:p>
    <w:p>
      <w:pPr>
        <w:pStyle w:val="Heading3"/>
        <w:keepNext/>
        <w:spacing w:after="70" w:before="220"/>
      </w:pPr>
      <w:r>
        <w:rPr>
          <w:b/>
          <w:bCs/>
          <w:color w:val="44546A"/>
          <w:sz w:val="22"/>
          <w:szCs w:val="22"/>
        </w:rPr>
        <w:t xml:space="preserve">Worked example 2: constant damage (Rosen 5.12)</w:t>
      </w:r>
    </w:p>
    <w:p>
      <w:pPr>
        <w:spacing w:after="120" w:line="276"/>
      </w:pPr>
      <w:r>
        <w:t xml:space="preserve">MPB = 10 − X, MPC = 5, external cost 2 per unit.</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market:   10 − X = 5  →  X = 5</w:t>
      </w:r>
      <w:r>
        <w:br/>
      </w:r>
      <w:r>
        <w:rPr>
          <w:rFonts w:ascii="Cambria Math" w:cs="Cambria Math" w:eastAsia="Cambria Math" w:hAnsi="Cambria Math"/>
          <w:sz w:val="22"/>
          <w:szCs w:val="22"/>
        </w:rPr>
        <w:t xml:space="preserve">efficient:   10 − X = 5 + 2  →  X* = 3</w:t>
      </w:r>
      <w:r>
        <w:br/>
      </w:r>
      <w:r>
        <w:rPr>
          <w:rFonts w:ascii="Cambria Math" w:cs="Cambria Math" w:eastAsia="Cambria Math" w:hAnsi="Cambria Math"/>
          <w:sz w:val="22"/>
          <w:szCs w:val="22"/>
        </w:rPr>
        <w:t xml:space="preserve">tax = MD = 2</w:t>
      </w:r>
      <w:r>
        <w:rPr>
          <w:rFonts w:ascii="Calibri" w:cs="Calibri" w:eastAsia="Calibri" w:hAnsi="Calibri"/>
          <w:i/>
          <w:iCs/>
          <w:color w:val="7A8A86"/>
          <w:sz w:val="18"/>
          <w:szCs w:val="18"/>
        </w:rPr>
        <w:t xml:space="preserve">     constant, so it's 2 at every X</w:t>
      </w:r>
      <w:r>
        <w:br/>
      </w:r>
      <w:r>
        <w:rPr>
          <w:rFonts w:ascii="Cambria Math" w:cs="Cambria Math" w:eastAsia="Cambria Math" w:hAnsi="Cambria Math"/>
          <w:sz w:val="22"/>
          <w:szCs w:val="22"/>
        </w:rPr>
        <w:t xml:space="preserve">revenue = 2 × 3 = 6;   welfare gain = ½ × (5 − 3) × 2 = 2</w:t>
      </w:r>
    </w:p>
    <w:p>
      <w:pPr>
        <w:pStyle w:val="Heading2"/>
        <w:keepNext/>
        <w:spacing w:after="80" w:before="300"/>
      </w:pPr>
      <w:r>
        <w:rPr>
          <w:b/>
          <w:bCs/>
          <w:color w:val="0D6D61"/>
          <w:sz w:val="25"/>
          <w:szCs w:val="25"/>
        </w:rPr>
        <w:t xml:space="preserve">How to calculate a Pigouvian subsidy (positive externality)</w:t>
      </w:r>
    </w:p>
    <w:p>
      <w:pPr>
        <w:pStyle w:val="ListParagraph"/>
        <w:numPr>
          <w:ilvl w:val="0"/>
          <w:numId w:val="6"/>
        </w:numPr>
        <w:spacing w:after="70" w:line="276"/>
      </w:pPr>
      <w:r>
        <w:t xml:space="preserve">Write down </w:t>
      </w:r>
      <w:r>
        <w:rPr>
          <w:b/>
          <w:bCs/>
        </w:rPr>
        <w:t xml:space="preserve">MPB</w:t>
      </w:r>
      <w:r>
        <w:t xml:space="preserve">, </w:t>
      </w:r>
      <w:r>
        <w:rPr>
          <w:b/>
          <w:bCs/>
        </w:rPr>
        <w:t xml:space="preserve">MEB</w:t>
      </w:r>
      <w:r>
        <w:t xml:space="preserve"> (marginal external benefit) and </w:t>
      </w:r>
      <w:r>
        <w:rPr>
          <w:b/>
          <w:bCs/>
        </w:rPr>
        <w:t xml:space="preserve">MC</w:t>
      </w:r>
      <w:r>
        <w:t xml:space="preserve">.</w:t>
      </w:r>
    </w:p>
    <w:p>
      <w:pPr>
        <w:pStyle w:val="ListParagraph"/>
        <w:numPr>
          <w:ilvl w:val="0"/>
          <w:numId w:val="6"/>
        </w:numPr>
        <w:spacing w:after="70" w:line="276"/>
      </w:pPr>
      <w:r>
        <w:t xml:space="preserve">Build social benefit: </w:t>
      </w:r>
      <w:r>
        <w:rPr>
          <w:b/>
          <w:bCs/>
        </w:rPr>
        <w:t xml:space="preserve">MSB = MPB + MEB</w:t>
      </w:r>
      <w:r>
        <w:t xml:space="preserve">.</w:t>
      </w:r>
    </w:p>
    <w:p>
      <w:pPr>
        <w:pStyle w:val="ListParagraph"/>
        <w:numPr>
          <w:ilvl w:val="0"/>
          <w:numId w:val="6"/>
        </w:numPr>
        <w:spacing w:after="70" w:line="276"/>
      </w:pPr>
      <w:r>
        <w:t xml:space="preserve">Market outcome: MPB = MC gives the (too low) private quantity.</w:t>
      </w:r>
    </w:p>
    <w:p>
      <w:pPr>
        <w:pStyle w:val="ListParagraph"/>
        <w:numPr>
          <w:ilvl w:val="0"/>
          <w:numId w:val="6"/>
        </w:numPr>
        <w:spacing w:after="70" w:line="276"/>
      </w:pPr>
      <w:r>
        <w:t xml:space="preserve">Efficient outcome: </w:t>
      </w:r>
      <w:r>
        <w:rPr>
          <w:b/>
          <w:bCs/>
        </w:rPr>
        <w:t xml:space="preserve">MSB = MC</w:t>
      </w:r>
      <w:r>
        <w:t xml:space="preserve"> gives Q*.</w:t>
      </w:r>
    </w:p>
    <w:p>
      <w:pPr>
        <w:pStyle w:val="ListParagraph"/>
        <w:numPr>
          <w:ilvl w:val="0"/>
          <w:numId w:val="6"/>
        </w:numPr>
        <w:spacing w:after="70" w:line="276"/>
      </w:pPr>
      <w:r>
        <w:rPr>
          <w:b/>
          <w:bCs/>
        </w:rPr>
        <w:t xml:space="preserve">Subsidy</w:t>
      </w:r>
      <w:r>
        <w:t xml:space="preserve"> = MEB evaluated at Q*.</w:t>
      </w:r>
    </w:p>
    <w:p>
      <w:pPr>
        <w:pStyle w:val="ListParagraph"/>
        <w:numPr>
          <w:ilvl w:val="0"/>
          <w:numId w:val="6"/>
        </w:numPr>
        <w:spacing w:after="70" w:line="276"/>
      </w:pPr>
      <w:r>
        <w:rPr>
          <w:b/>
          <w:bCs/>
        </w:rPr>
        <w:t xml:space="preserve">Check</w:t>
      </w:r>
      <w:r>
        <w:t xml:space="preserve">: with the subsidy, people face price MC − s; MPB = MC − s must give Q*.</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Illustrative numbers. The subsidy lowers the price people face by MEB(Q*) = 4, moving the private choice from 12 up to the efficient 16.</w:t>
      </w:r>
    </w:p>
    <w:p>
      <w:pPr>
        <w:pStyle w:val="Heading3"/>
        <w:keepNext/>
        <w:spacing w:after="70" w:before="220"/>
      </w:pPr>
      <w:r>
        <w:rPr>
          <w:b/>
          <w:bCs/>
          <w:color w:val="44546A"/>
          <w:sz w:val="22"/>
          <w:szCs w:val="22"/>
        </w:rPr>
        <w:t xml:space="preserve">Worked example 3: university education (Practicum 2.5)</w:t>
      </w:r>
    </w:p>
    <w:p>
      <w:pPr>
        <w:spacing w:after="120" w:line="276"/>
      </w:pPr>
      <w:r>
        <w:t xml:space="preserve">Demand (MPB): P = 100 − 2q. MEB = 25 − ½q. Marginal cost 20.</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market:   100 − 2q = 20  →  q = 40</w:t>
      </w:r>
      <w:r>
        <w:br/>
      </w:r>
      <w:r>
        <w:rPr>
          <w:rFonts w:ascii="Cambria Math" w:cs="Cambria Math" w:eastAsia="Cambria Math" w:hAnsi="Cambria Math"/>
          <w:sz w:val="22"/>
          <w:szCs w:val="22"/>
        </w:rPr>
        <w:t xml:space="preserve">MSB = (100 − 2q) + (25 − ½q) = 125 − 2.5q</w:t>
      </w:r>
      <w:r>
        <w:br/>
      </w:r>
      <w:r>
        <w:rPr>
          <w:rFonts w:ascii="Cambria Math" w:cs="Cambria Math" w:eastAsia="Cambria Math" w:hAnsi="Cambria Math"/>
          <w:sz w:val="22"/>
          <w:szCs w:val="22"/>
        </w:rPr>
        <w:t xml:space="preserve">efficient:   125 − 2.5q = 20  →  q* = 42</w:t>
      </w:r>
      <w:r>
        <w:br/>
      </w:r>
      <w:r>
        <w:rPr>
          <w:rFonts w:ascii="Cambria Math" w:cs="Cambria Math" w:eastAsia="Cambria Math" w:hAnsi="Cambria Math"/>
          <w:sz w:val="22"/>
          <w:szCs w:val="22"/>
        </w:rPr>
        <w:t xml:space="preserve">subsidy = MEB(42) = 25 − 21 = 4</w:t>
      </w:r>
      <w:r>
        <w:br/>
      </w:r>
      <w:r>
        <w:rPr>
          <w:rFonts w:ascii="Cambria Math" w:cs="Cambria Math" w:eastAsia="Cambria Math" w:hAnsi="Cambria Math"/>
          <w:sz w:val="22"/>
          <w:szCs w:val="22"/>
        </w:rPr>
        <w:t xml:space="preserve">check:   100 − 2q = 20 − 4 = 16  →  q = 42 ✓</w:t>
      </w:r>
      <w:r>
        <w:br/>
      </w:r>
      <w:r>
        <w:rPr>
          <w:rFonts w:ascii="Cambria Math" w:cs="Cambria Math" w:eastAsia="Cambria Math" w:hAnsi="Cambria Math"/>
          <w:sz w:val="22"/>
          <w:szCs w:val="22"/>
        </w:rPr>
        <w:t xml:space="preserve">total subsidy spending = 4 × 42 = 168</w:t>
      </w:r>
    </w:p>
    <w:p>
      <w:pPr>
        <w:spacing w:after="120" w:line="276"/>
      </w:pPr>
      <w:r>
        <w:rPr>
          <w:b/>
          <w:bCs/>
        </w:rPr>
        <w:t xml:space="preserve">Free education</w:t>
      </w:r>
      <w:r>
        <w:t xml:space="preserve"> (a subsidy of 20) overshoots: 100 − 2q = 0 gives q = 50 &gt; 42, so students past q* receive education costing more than its total social value. A subsidy set above MEB creates its own excess burden.</w:t>
      </w:r>
    </w:p>
    <w:p>
      <w:pPr>
        <w:pStyle w:val="Heading2"/>
        <w:keepNext/>
        <w:spacing w:after="80" w:before="300"/>
      </w:pPr>
      <w:r>
        <w:rPr>
          <w:b/>
          <w:bCs/>
          <w:color w:val="0D6D61"/>
          <w:sz w:val="25"/>
          <w:szCs w:val="25"/>
        </w:rPr>
        <w:t xml:space="preserve">Pigouvian subsidy for reducing a negative externality</w:t>
      </w:r>
      <w:r>
        <w:rPr>
          <w:color w:val="7A8A86"/>
          <w:sz w:val="18"/>
          <w:szCs w:val="18"/>
        </w:rPr>
        <w:t xml:space="preserve">   Lecture 2, slide 29</w:t>
      </w:r>
    </w:p>
    <w:p>
      <w:pPr>
        <w:spacing w:after="120" w:line="276"/>
      </w:pPr>
      <w:r>
        <w:t xml:space="preserve">Instead of taxing each unit produced, the government can </w:t>
      </w:r>
      <w:r>
        <w:rPr>
          <w:b/>
          <w:bCs/>
        </w:rPr>
        <w:t xml:space="preserve">pay the polluter</w:t>
      </w:r>
      <w:r>
        <w:t xml:space="preserve"> MD(Q*) </w:t>
      </w:r>
      <w:r>
        <w:rPr>
          <w:b/>
          <w:bCs/>
        </w:rPr>
        <w:t xml:space="preserve">for every unit it produces below the market level</w:t>
      </w:r>
      <w:r>
        <w:t xml:space="preserve"> Q</w:t>
      </w:r>
      <w:r>
        <w:rPr>
          <w:vertAlign w:val="subscript"/>
        </w:rPr>
        <w:t xml:space="preserve">P</w:t>
      </w:r>
      <w:r>
        <w:t xml:space="preserve">. Producing one more unit now also costs the polluter the subsidy it gives up, so its effective marginal cost is again MPC + MD(Q*), and it chooses Q* — exactly as under the tax.</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subsidy bill = MD(Q*) × (Q</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rPr>
        <w:t xml:space="preserve"> − Q*)</w:t>
      </w:r>
      <w:r>
        <w:rPr>
          <w:rFonts w:ascii="Calibri" w:cs="Calibri" w:eastAsia="Calibri" w:hAnsi="Calibri"/>
          <w:i/>
          <w:iCs/>
          <w:color w:val="7A8A86"/>
          <w:sz w:val="18"/>
          <w:szCs w:val="18"/>
        </w:rPr>
        <w:t xml:space="preserve">     paint: 2 × (5 − 4) = 2 paid to the firm</w:t>
      </w:r>
    </w:p>
    <w:p>
      <w:pPr>
        <w:pStyle w:val="Heading2"/>
        <w:keepNext/>
        <w:spacing w:after="80" w:before="300"/>
      </w:pPr>
      <w:r>
        <w:rPr>
          <w:b/>
          <w:bCs/>
          <w:color w:val="0D6D61"/>
          <w:sz w:val="25"/>
          <w:szCs w:val="25"/>
        </w:rPr>
        <w:t xml:space="preserve">Tax vs subsidy, and the connection to this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shd w:fill="DEEAF6" w:color="auto" w:val="clear"/>
            <w:tcMar>
              <w:top w:type="dxa" w:w="60"/>
              <w:left w:type="dxa" w:w="100"/>
              <w:bottom w:type="dxa" w:w="60"/>
              <w:right w:type="dxa" w:w="100"/>
            </w:tcMar>
          </w:tcPr>
          <w:p>
            <w:pPr>
              <w:spacing w:after="0"/>
            </w:pPr>
          </w:p>
        </w:tc>
        <w:tc>
          <w:tcPr>
            <w:tcW w:type="dxa" w:w="3600"/>
            <w:shd w:fill="DEEAF6" w:color="auto" w:val="clear"/>
            <w:tcMar>
              <w:top w:type="dxa" w:w="60"/>
              <w:left w:type="dxa" w:w="100"/>
              <w:bottom w:type="dxa" w:w="60"/>
              <w:right w:type="dxa" w:w="100"/>
            </w:tcMar>
          </w:tcPr>
          <w:p>
            <w:pPr>
              <w:spacing w:after="0"/>
            </w:pPr>
            <w:r>
              <w:rPr>
                <w:b/>
                <w:bCs/>
                <w:sz w:val="19"/>
                <w:szCs w:val="19"/>
              </w:rPr>
              <w:t xml:space="preserve">Pigouvian tax</w:t>
            </w:r>
          </w:p>
        </w:tc>
        <w:tc>
          <w:tcPr>
            <w:tcW w:type="dxa" w:w="3638"/>
            <w:shd w:fill="DEEAF6" w:color="auto" w:val="clear"/>
            <w:tcMar>
              <w:top w:type="dxa" w:w="60"/>
              <w:left w:type="dxa" w:w="100"/>
              <w:bottom w:type="dxa" w:w="60"/>
              <w:right w:type="dxa" w:w="100"/>
            </w:tcMar>
          </w:tcPr>
          <w:p>
            <w:pPr>
              <w:spacing w:after="0"/>
            </w:pPr>
            <w:r>
              <w:rPr>
                <w:b/>
                <w:bCs/>
                <w:sz w:val="19"/>
                <w:szCs w:val="19"/>
              </w:rPr>
              <w:t xml:space="preserve">Pigouvian subsidy</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Output</w:t>
            </w:r>
          </w:p>
        </w:tc>
        <w:tc>
          <w:tcPr>
            <w:tcW w:type="dxa" w:w="3600"/>
            <w:tcMar>
              <w:top w:type="dxa" w:w="60"/>
              <w:left w:type="dxa" w:w="100"/>
              <w:bottom w:type="dxa" w:w="60"/>
              <w:right w:type="dxa" w:w="100"/>
            </w:tcMar>
          </w:tcPr>
          <w:p>
            <w:pPr>
              <w:spacing w:after="0"/>
            </w:pPr>
            <w:r>
              <w:rPr>
                <w:b w:val="false"/>
                <w:bCs w:val="false"/>
                <w:sz w:val="19"/>
                <w:szCs w:val="19"/>
              </w:rPr>
              <w:t xml:space="preserve">Q*</w:t>
            </w:r>
          </w:p>
        </w:tc>
        <w:tc>
          <w:tcPr>
            <w:tcW w:type="dxa" w:w="3638"/>
            <w:tcMar>
              <w:top w:type="dxa" w:w="60"/>
              <w:left w:type="dxa" w:w="100"/>
              <w:bottom w:type="dxa" w:w="60"/>
              <w:right w:type="dxa" w:w="100"/>
            </w:tcMar>
          </w:tcPr>
          <w:p>
            <w:pPr>
              <w:spacing w:after="0"/>
            </w:pPr>
            <w:r>
              <w:rPr>
                <w:b w:val="false"/>
                <w:bCs w:val="false"/>
                <w:sz w:val="19"/>
                <w:szCs w:val="19"/>
              </w:rPr>
              <w:t xml:space="preserve">Q* (the same)</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Money flows</w:t>
            </w:r>
          </w:p>
        </w:tc>
        <w:tc>
          <w:tcPr>
            <w:tcW w:type="dxa" w:w="3600"/>
            <w:tcMar>
              <w:top w:type="dxa" w:w="60"/>
              <w:left w:type="dxa" w:w="100"/>
              <w:bottom w:type="dxa" w:w="60"/>
              <w:right w:type="dxa" w:w="100"/>
            </w:tcMar>
          </w:tcPr>
          <w:p>
            <w:pPr>
              <w:spacing w:after="0"/>
            </w:pPr>
            <w:r>
              <w:rPr>
                <w:b w:val="false"/>
                <w:bCs w:val="false"/>
                <w:sz w:val="19"/>
                <w:szCs w:val="19"/>
              </w:rPr>
              <w:t xml:space="preserve">polluter pays government</w:t>
            </w:r>
          </w:p>
        </w:tc>
        <w:tc>
          <w:tcPr>
            <w:tcW w:type="dxa" w:w="3638"/>
            <w:tcMar>
              <w:top w:type="dxa" w:w="60"/>
              <w:left w:type="dxa" w:w="100"/>
              <w:bottom w:type="dxa" w:w="60"/>
              <w:right w:type="dxa" w:w="100"/>
            </w:tcMar>
          </w:tcPr>
          <w:p>
            <w:pPr>
              <w:spacing w:after="0"/>
            </w:pPr>
            <w:r>
              <w:rPr>
                <w:b w:val="false"/>
                <w:bCs w:val="false"/>
                <w:sz w:val="19"/>
                <w:szCs w:val="19"/>
              </w:rPr>
              <w:t xml:space="preserve">government pays polluter</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Main difference</w:t>
            </w:r>
          </w:p>
        </w:tc>
        <w:tc>
          <w:tcPr>
            <w:tcW w:type="dxa" w:w="3600"/>
            <w:tcMar>
              <w:top w:type="dxa" w:w="60"/>
              <w:left w:type="dxa" w:w="100"/>
              <w:bottom w:type="dxa" w:w="60"/>
              <w:right w:type="dxa" w:w="100"/>
            </w:tcMar>
          </w:tcPr>
          <w:p>
            <w:pPr>
              <w:spacing w:after="0"/>
            </w:pPr>
            <w:r>
              <w:rPr>
                <w:b w:val="false"/>
                <w:bCs w:val="false"/>
                <w:sz w:val="19"/>
                <w:szCs w:val="19"/>
              </w:rPr>
              <w:t xml:space="preserve">distribution</w:t>
            </w:r>
          </w:p>
        </w:tc>
        <w:tc>
          <w:tcPr>
            <w:tcW w:type="dxa" w:w="3638"/>
            <w:tcMar>
              <w:top w:type="dxa" w:w="60"/>
              <w:left w:type="dxa" w:w="100"/>
              <w:bottom w:type="dxa" w:w="60"/>
              <w:right w:type="dxa" w:w="100"/>
            </w:tcMar>
          </w:tcPr>
          <w:p>
            <w:pPr>
              <w:spacing w:after="0"/>
            </w:pPr>
            <w:r>
              <w:rPr>
                <w:b w:val="false"/>
                <w:bCs w:val="false"/>
                <w:sz w:val="19"/>
                <w:szCs w:val="19"/>
              </w:rPr>
              <w:t xml:space="preserve">distribution</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Information needed</w:t>
            </w:r>
          </w:p>
        </w:tc>
        <w:tc>
          <w:tcPr>
            <w:tcW w:type="dxa" w:w="3600"/>
            <w:tcMar>
              <w:top w:type="dxa" w:w="60"/>
              <w:left w:type="dxa" w:w="100"/>
              <w:bottom w:type="dxa" w:w="60"/>
              <w:right w:type="dxa" w:w="100"/>
            </w:tcMar>
          </w:tcPr>
          <w:p>
            <w:pPr>
              <w:spacing w:after="0"/>
            </w:pPr>
            <w:r>
              <w:rPr>
                <w:b w:val="false"/>
                <w:bCs w:val="false"/>
                <w:sz w:val="19"/>
                <w:szCs w:val="19"/>
              </w:rPr>
              <w:t xml:space="preserve">MD at Q*</w:t>
            </w:r>
          </w:p>
        </w:tc>
        <w:tc>
          <w:tcPr>
            <w:tcW w:type="dxa" w:w="3638"/>
            <w:tcMar>
              <w:top w:type="dxa" w:w="60"/>
              <w:left w:type="dxa" w:w="100"/>
              <w:bottom w:type="dxa" w:w="60"/>
              <w:right w:type="dxa" w:w="100"/>
            </w:tcMar>
          </w:tcPr>
          <w:p>
            <w:pPr>
              <w:spacing w:after="0"/>
            </w:pPr>
            <w:r>
              <w:rPr>
                <w:b w:val="false"/>
                <w:bCs w:val="false"/>
                <w:sz w:val="19"/>
                <w:szCs w:val="19"/>
              </w:rPr>
              <w:t xml:space="preserve">MD at Q*, plus a baseline Q_P</w:t>
            </w:r>
          </w:p>
        </w:tc>
      </w:tr>
    </w:tbl>
    <w:p>
      <w:pPr>
        <w:spacing w:after="150" w:line="276"/>
      </w:pPr>
    </w:p>
    <w:p>
      <w:pPr>
        <w:pStyle w:val="ListParagraph"/>
        <w:numPr>
          <w:ilvl w:val="0"/>
          <w:numId w:val="2"/>
        </w:numPr>
        <w:spacing w:after="70" w:line="276"/>
      </w:pPr>
      <w:r>
        <w:rPr>
          <w:b/>
          <w:bCs/>
        </w:rPr>
        <w:t xml:space="preserve">No excess burden</w:t>
      </w:r>
      <w:r>
        <w:t xml:space="preserve">: an ordinary tax distorts a working market; a correctly set Pigouvian tax corrects a broken one, so it </w:t>
      </w:r>
      <w:r>
        <w:rPr>
          <w:b/>
          <w:bCs/>
        </w:rPr>
        <w:t xml:space="preserve">removes</w:t>
      </w:r>
      <w:r>
        <w:t xml:space="preserve"> a deadweight loss (paint: +1.25) while also raising revenue (8). This is the 'double dividend' idea, and why Rosen 15.12(b) finds a smaller excess burden when drinking has an external cost.</w:t>
      </w:r>
    </w:p>
    <w:p>
      <w:pPr>
        <w:pStyle w:val="ListParagraph"/>
        <w:numPr>
          <w:ilvl w:val="0"/>
          <w:numId w:val="2"/>
        </w:numPr>
        <w:spacing w:after="70" w:line="276"/>
      </w:pPr>
      <w:r>
        <w:rPr>
          <w:b/>
          <w:bCs/>
        </w:rPr>
        <w:t xml:space="preserve">Coase comparison</w:t>
      </w:r>
      <w:r>
        <w:t xml:space="preserve">: private bargaining reaches the same Q* when transaction costs are low; Pigouvian instruments are for when they aren't.</w:t>
      </w:r>
    </w:p>
    <w:p>
      <w:pPr>
        <w:pStyle w:val="ListParagraph"/>
        <w:numPr>
          <w:ilvl w:val="0"/>
          <w:numId w:val="2"/>
        </w:numPr>
        <w:spacing w:after="70" w:line="276"/>
      </w:pPr>
      <w:r>
        <w:rPr>
          <w:b/>
          <w:bCs/>
        </w:rPr>
        <w:t xml:space="preserve">Main practical problem</w:t>
      </w:r>
      <w:r>
        <w:t xml:space="preserve">: the government must know MD (or MEB) at Q*, which is hard to measure — leaving room for government failure (Lecture 2, slide 30).</w:t>
      </w:r>
    </w:p>
    <w:p>
      <w:pPr>
        <w:pStyle w:val="Heading1"/>
        <w:keepNext/>
        <w:spacing w:after="140" w:before="380"/>
      </w:pPr>
      <w:r>
        <w:rPr>
          <w:b/>
          <w:bCs/>
          <w:color w:val="1F3864"/>
          <w:sz w:val="30"/>
          <w:szCs w:val="30"/>
        </w:rPr>
        <w:t xml:space="preserve">Formula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438"/>
      </w:tblGrid>
      <w:tr>
        <w:trPr>
          <w:tblHeader/>
        </w:trPr>
        <w:tc>
          <w:tcPr>
            <w:tcW w:type="dxa" w:w="3300"/>
            <w:shd w:fill="DEEAF6" w:color="auto" w:val="clear"/>
            <w:tcMar>
              <w:top w:type="dxa" w:w="60"/>
              <w:left w:type="dxa" w:w="100"/>
              <w:bottom w:type="dxa" w:w="60"/>
              <w:right w:type="dxa" w:w="100"/>
            </w:tcMar>
          </w:tcPr>
          <w:p>
            <w:pPr>
              <w:spacing w:after="0"/>
            </w:pPr>
            <w:r>
              <w:rPr>
                <w:b/>
                <w:bCs/>
                <w:sz w:val="19"/>
                <w:szCs w:val="19"/>
              </w:rPr>
              <w:t xml:space="preserve">Concept</w:t>
            </w:r>
          </w:p>
        </w:tc>
        <w:tc>
          <w:tcPr>
            <w:tcW w:type="dxa" w:w="3900"/>
            <w:shd w:fill="DEEAF6" w:color="auto" w:val="clear"/>
            <w:tcMar>
              <w:top w:type="dxa" w:w="60"/>
              <w:left w:type="dxa" w:w="100"/>
              <w:bottom w:type="dxa" w:w="60"/>
              <w:right w:type="dxa" w:w="100"/>
            </w:tcMar>
          </w:tcPr>
          <w:p>
            <w:pPr>
              <w:spacing w:after="0"/>
            </w:pPr>
            <w:r>
              <w:rPr>
                <w:b/>
                <w:bCs/>
                <w:sz w:val="19"/>
                <w:szCs w:val="19"/>
              </w:rPr>
              <w:t xml:space="preserve">Formula</w:t>
            </w:r>
          </w:p>
        </w:tc>
        <w:tc>
          <w:tcPr>
            <w:tcW w:type="dxa" w:w="2438"/>
            <w:shd w:fill="DEEAF6" w:color="auto" w:val="clear"/>
            <w:tcMar>
              <w:top w:type="dxa" w:w="60"/>
              <w:left w:type="dxa" w:w="100"/>
              <w:bottom w:type="dxa" w:w="60"/>
              <w:right w:type="dxa" w:w="100"/>
            </w:tcMar>
          </w:tcPr>
          <w:p>
            <w:pPr>
              <w:spacing w:after="0"/>
            </w:pPr>
            <w:r>
              <w:rPr>
                <w:b/>
                <w:bCs/>
                <w:sz w:val="19"/>
                <w:szCs w:val="19"/>
              </w:rPr>
              <w:t xml:space="preserve">Note</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Price wedge</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P_d = P_s + t</w:t>
            </w:r>
          </w:p>
        </w:tc>
        <w:tc>
          <w:tcPr>
            <w:tcW w:type="dxa" w:w="2438"/>
            <w:tcMar>
              <w:top w:type="dxa" w:w="60"/>
              <w:left w:type="dxa" w:w="100"/>
              <w:bottom w:type="dxa" w:w="60"/>
              <w:right w:type="dxa" w:w="100"/>
            </w:tcMar>
          </w:tcPr>
          <w:p>
            <w:pPr>
              <w:spacing w:after="0"/>
            </w:pPr>
            <w:r>
              <w:rPr>
                <w:b w:val="false"/>
                <w:bCs w:val="false"/>
                <w:sz w:val="19"/>
                <w:szCs w:val="19"/>
              </w:rPr>
              <w:t xml:space="preserve">any unit tax</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Elasticity</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ε = (dQ/dP)(P/Q)</w:t>
            </w:r>
          </w:p>
        </w:tc>
        <w:tc>
          <w:tcPr>
            <w:tcW w:type="dxa" w:w="2438"/>
            <w:tcMar>
              <w:top w:type="dxa" w:w="60"/>
              <w:left w:type="dxa" w:w="100"/>
              <w:bottom w:type="dxa" w:w="60"/>
              <w:right w:type="dxa" w:w="100"/>
            </w:tcMar>
          </w:tcPr>
          <w:p>
            <w:pPr>
              <w:spacing w:after="0"/>
            </w:pPr>
            <w:r>
              <w:rPr>
                <w:b w:val="false"/>
                <w:bCs w:val="false"/>
                <w:sz w:val="19"/>
                <w:szCs w:val="19"/>
              </w:rPr>
              <w:t xml:space="preserve">flip dP/dQ if needed</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Consumer share</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ε_s / (ε_s + |ε_d|)</w:t>
            </w:r>
          </w:p>
        </w:tc>
        <w:tc>
          <w:tcPr>
            <w:tcW w:type="dxa" w:w="2438"/>
            <w:tcMar>
              <w:top w:type="dxa" w:w="60"/>
              <w:left w:type="dxa" w:w="100"/>
              <w:bottom w:type="dxa" w:w="60"/>
              <w:right w:type="dxa" w:w="100"/>
            </w:tcMar>
          </w:tcPr>
          <w:p>
            <w:pPr>
              <w:spacing w:after="0"/>
            </w:pPr>
            <w:r>
              <w:rPr>
                <w:b w:val="false"/>
                <w:bCs w:val="false"/>
                <w:sz w:val="19"/>
                <w:szCs w:val="19"/>
              </w:rPr>
              <w:t xml:space="preserve">incidence</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Burden</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ΔP × Q_new</w:t>
            </w:r>
          </w:p>
        </w:tc>
        <w:tc>
          <w:tcPr>
            <w:tcW w:type="dxa" w:w="2438"/>
            <w:tcMar>
              <w:top w:type="dxa" w:w="60"/>
              <w:left w:type="dxa" w:w="100"/>
              <w:bottom w:type="dxa" w:w="60"/>
              <w:right w:type="dxa" w:w="100"/>
            </w:tcMar>
          </w:tcPr>
          <w:p>
            <w:pPr>
              <w:spacing w:after="0"/>
            </w:pPr>
            <w:r>
              <w:rPr>
                <w:b w:val="false"/>
                <w:bCs w:val="false"/>
                <w:sz w:val="19"/>
                <w:szCs w:val="19"/>
              </w:rPr>
              <w:t xml:space="preserve">each side</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Excess burden (market)</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½ × t × ΔQ</w:t>
            </w:r>
          </w:p>
        </w:tc>
        <w:tc>
          <w:tcPr>
            <w:tcW w:type="dxa" w:w="2438"/>
            <w:tcMar>
              <w:top w:type="dxa" w:w="60"/>
              <w:left w:type="dxa" w:w="100"/>
              <w:bottom w:type="dxa" w:w="60"/>
              <w:right w:type="dxa" w:w="100"/>
            </w:tcMar>
          </w:tcPr>
          <w:p>
            <w:pPr>
              <w:spacing w:after="0"/>
            </w:pPr>
            <w:r>
              <w:rPr>
                <w:b w:val="false"/>
                <w:bCs w:val="false"/>
                <w:sz w:val="19"/>
                <w:szCs w:val="19"/>
              </w:rPr>
              <w:t xml:space="preserve">linear curves</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Excess burden (individual)</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EV − revenue</w:t>
            </w:r>
          </w:p>
        </w:tc>
        <w:tc>
          <w:tcPr>
            <w:tcW w:type="dxa" w:w="2438"/>
            <w:tcMar>
              <w:top w:type="dxa" w:w="60"/>
              <w:left w:type="dxa" w:w="100"/>
              <w:bottom w:type="dxa" w:w="60"/>
              <w:right w:type="dxa" w:w="100"/>
            </w:tcMar>
          </w:tcPr>
          <w:p>
            <w:pPr>
              <w:spacing w:after="0"/>
            </w:pPr>
            <w:r>
              <w:rPr>
                <w:b w:val="false"/>
                <w:bCs w:val="false"/>
                <w:sz w:val="19"/>
                <w:szCs w:val="19"/>
              </w:rPr>
              <w:t xml:space="preserve">EV via shifted budget line</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Average tax rate</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ATR = T / I</w:t>
            </w:r>
          </w:p>
        </w:tc>
        <w:tc>
          <w:tcPr>
            <w:tcW w:type="dxa" w:w="2438"/>
            <w:tcMar>
              <w:top w:type="dxa" w:w="60"/>
              <w:left w:type="dxa" w:w="100"/>
              <w:bottom w:type="dxa" w:w="60"/>
              <w:right w:type="dxa" w:w="100"/>
            </w:tcMar>
          </w:tcPr>
          <w:p>
            <w:pPr>
              <w:spacing w:after="0"/>
            </w:pPr>
            <w:r>
              <w:rPr>
                <w:b w:val="false"/>
                <w:bCs w:val="false"/>
                <w:sz w:val="19"/>
                <w:szCs w:val="19"/>
              </w:rPr>
              <w:t xml:space="preserve">progressivity</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Social cost</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MSC = MPC + MD</w:t>
            </w:r>
          </w:p>
        </w:tc>
        <w:tc>
          <w:tcPr>
            <w:tcW w:type="dxa" w:w="2438"/>
            <w:tcMar>
              <w:top w:type="dxa" w:w="60"/>
              <w:left w:type="dxa" w:w="100"/>
              <w:bottom w:type="dxa" w:w="60"/>
              <w:right w:type="dxa" w:w="100"/>
            </w:tcMar>
          </w:tcPr>
          <w:p>
            <w:pPr>
              <w:spacing w:after="0"/>
            </w:pPr>
            <w:r>
              <w:rPr>
                <w:b w:val="false"/>
                <w:bCs w:val="false"/>
                <w:sz w:val="19"/>
                <w:szCs w:val="19"/>
              </w:rPr>
              <w:t xml:space="preserve">negative externality</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Social benefit</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MSB = MPB + MEB</w:t>
            </w:r>
          </w:p>
        </w:tc>
        <w:tc>
          <w:tcPr>
            <w:tcW w:type="dxa" w:w="2438"/>
            <w:tcMar>
              <w:top w:type="dxa" w:w="60"/>
              <w:left w:type="dxa" w:w="100"/>
              <w:bottom w:type="dxa" w:w="60"/>
              <w:right w:type="dxa" w:w="100"/>
            </w:tcMar>
          </w:tcPr>
          <w:p>
            <w:pPr>
              <w:spacing w:after="0"/>
            </w:pPr>
            <w:r>
              <w:rPr>
                <w:b w:val="false"/>
                <w:bCs w:val="false"/>
                <w:sz w:val="19"/>
                <w:szCs w:val="19"/>
              </w:rPr>
              <w:t xml:space="preserve">positive externality</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Pigouvian tax</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t = MD(Q*)</w:t>
            </w:r>
          </w:p>
        </w:tc>
        <w:tc>
          <w:tcPr>
            <w:tcW w:type="dxa" w:w="2438"/>
            <w:tcMar>
              <w:top w:type="dxa" w:w="60"/>
              <w:left w:type="dxa" w:w="100"/>
              <w:bottom w:type="dxa" w:w="60"/>
              <w:right w:type="dxa" w:w="100"/>
            </w:tcMar>
          </w:tcPr>
          <w:p>
            <w:pPr>
              <w:spacing w:after="0"/>
            </w:pPr>
            <w:r>
              <w:rPr>
                <w:b w:val="false"/>
                <w:bCs w:val="false"/>
                <w:sz w:val="19"/>
                <w:szCs w:val="19"/>
              </w:rPr>
              <w:t xml:space="preserve">at the efficient Q</w:t>
            </w:r>
          </w:p>
        </w:tc>
      </w:tr>
      <w:tr>
        <w:trPr>
          <w:tblHeader w:val="false"/>
        </w:trPr>
        <w:tc>
          <w:tcPr>
            <w:tcW w:type="dxa" w:w="3300"/>
            <w:tcMar>
              <w:top w:type="dxa" w:w="60"/>
              <w:left w:type="dxa" w:w="100"/>
              <w:bottom w:type="dxa" w:w="60"/>
              <w:right w:type="dxa" w:w="100"/>
            </w:tcMar>
          </w:tcPr>
          <w:p>
            <w:pPr>
              <w:spacing w:after="0"/>
            </w:pPr>
            <w:r>
              <w:rPr>
                <w:b/>
                <w:bCs/>
                <w:sz w:val="19"/>
                <w:szCs w:val="19"/>
              </w:rPr>
              <w:t xml:space="preserve">Pigouvian subsidy</w:t>
            </w:r>
          </w:p>
        </w:tc>
        <w:tc>
          <w:tcPr>
            <w:tcW w:type="dxa" w:w="39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s = MEB(Q*)</w:t>
            </w:r>
          </w:p>
        </w:tc>
        <w:tc>
          <w:tcPr>
            <w:tcW w:type="dxa" w:w="2438"/>
            <w:tcMar>
              <w:top w:type="dxa" w:w="60"/>
              <w:left w:type="dxa" w:w="100"/>
              <w:bottom w:type="dxa" w:w="60"/>
              <w:right w:type="dxa" w:w="100"/>
            </w:tcMar>
          </w:tcPr>
          <w:p>
            <w:pPr>
              <w:spacing w:after="0"/>
            </w:pPr>
            <w:r>
              <w:rPr>
                <w:b w:val="false"/>
                <w:bCs w:val="false"/>
                <w:sz w:val="19"/>
                <w:szCs w:val="19"/>
              </w:rPr>
              <w:t xml:space="preserve">at the efficient Q</w:t>
            </w:r>
          </w:p>
        </w:tc>
      </w:tr>
    </w:tbl>
    <w:p>
      <w:pPr>
        <w:spacing w:after="150" w:line="276"/>
      </w:pPr>
    </w:p>
    <w:p>
      <w:pPr>
        <w:pStyle w:val="Heading1"/>
        <w:keepNext/>
        <w:spacing w:after="140" w:before="380"/>
      </w:pPr>
      <w:r>
        <w:rPr>
          <w:b/>
          <w:bCs/>
          <w:color w:val="1F3864"/>
          <w:sz w:val="30"/>
          <w:szCs w:val="30"/>
        </w:rPr>
        <w:t xml:space="preserve">Exam checklist</w:t>
      </w:r>
    </w:p>
    <w:p>
      <w:pPr>
        <w:pStyle w:val="ListParagraph"/>
        <w:numPr>
          <w:ilvl w:val="0"/>
          <w:numId w:val="2"/>
        </w:numPr>
        <w:spacing w:after="70" w:line="276"/>
      </w:pPr>
      <w:r>
        <w:t xml:space="preserve">Solve before-tax and after-tax equilibria: set demand = supply, then shift supply up by t and repeat.</w:t>
      </w:r>
    </w:p>
    <w:p>
      <w:pPr>
        <w:pStyle w:val="ListParagraph"/>
        <w:numPr>
          <w:ilvl w:val="0"/>
          <w:numId w:val="2"/>
        </w:numPr>
        <w:spacing w:after="70" w:line="276"/>
      </w:pPr>
      <w:r>
        <w:t xml:space="preserve">Always check that P</w:t>
      </w:r>
      <w:r>
        <w:rPr>
          <w:vertAlign w:val="subscript"/>
        </w:rPr>
        <w:t xml:space="preserve">d</w:t>
      </w:r>
      <w:r>
        <w:t xml:space="preserve"> − P</w:t>
      </w:r>
      <w:r>
        <w:rPr>
          <w:vertAlign w:val="subscript"/>
        </w:rPr>
        <w:t xml:space="preserve">s</w:t>
      </w:r>
      <w:r>
        <w:t xml:space="preserve"> = t and that each price sits on its own original curve.</w:t>
      </w:r>
    </w:p>
    <w:p>
      <w:pPr>
        <w:pStyle w:val="ListParagraph"/>
        <w:numPr>
          <w:ilvl w:val="0"/>
          <w:numId w:val="2"/>
        </w:numPr>
        <w:spacing w:after="70" w:line="276"/>
      </w:pPr>
      <w:r>
        <w:t xml:space="preserve">Compute each side's burden as price change × new quantity; the two must sum to the revenue.</w:t>
      </w:r>
    </w:p>
    <w:p>
      <w:pPr>
        <w:pStyle w:val="ListParagraph"/>
        <w:numPr>
          <w:ilvl w:val="0"/>
          <w:numId w:val="2"/>
        </w:numPr>
        <w:spacing w:after="70" w:line="276"/>
      </w:pPr>
      <w:r>
        <w:t xml:space="preserve">Link the split to elasticities, and explain why: better alternatives mean a smaller share.</w:t>
      </w:r>
    </w:p>
    <w:p>
      <w:pPr>
        <w:pStyle w:val="ListParagraph"/>
        <w:numPr>
          <w:ilvl w:val="0"/>
          <w:numId w:val="2"/>
        </w:numPr>
        <w:spacing w:after="70" w:line="276"/>
      </w:pPr>
      <w:r>
        <w:t xml:space="preserve">Excess burden = surplus lost − revenue. At the market level it's the triangle; at the individual level it's EV − revenue.</w:t>
      </w:r>
    </w:p>
    <w:p>
      <w:pPr>
        <w:pStyle w:val="ListParagraph"/>
        <w:numPr>
          <w:ilvl w:val="0"/>
          <w:numId w:val="2"/>
        </w:numPr>
        <w:spacing w:after="70" w:line="276"/>
      </w:pPr>
      <w:r>
        <w:t xml:space="preserve">Excess burden comes from the SUBSTITUTION effect — it can exist even if behaviour doesn't visibly change.</w:t>
      </w:r>
    </w:p>
    <w:p>
      <w:pPr>
        <w:pStyle w:val="ListParagraph"/>
        <w:numPr>
          <w:ilvl w:val="0"/>
          <w:numId w:val="2"/>
        </w:numPr>
        <w:spacing w:after="70" w:line="276"/>
      </w:pPr>
      <w:r>
        <w:t xml:space="preserve">Know why an income tax isn't lump-sum, and why a head tax is lump-sum but not used.</w:t>
      </w:r>
    </w:p>
    <w:p>
      <w:pPr>
        <w:pStyle w:val="ListParagraph"/>
        <w:numPr>
          <w:ilvl w:val="0"/>
          <w:numId w:val="2"/>
        </w:numPr>
        <w:spacing w:after="70" w:line="276"/>
      </w:pPr>
      <w:r>
        <w:t xml:space="preserve">Pigouvian tax = MD at Q*, subsidy = MEB at Q* — not at the market quantity. Always check the instrument delivers Q*.</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star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f851b0fcbfdf727d3c5641efb4ae96ed906bdb.png"/><Relationship Id="rId8" Type="http://schemas.openxmlformats.org/officeDocument/2006/relationships/image" Target="media/3571930c2b975f63b3ad5854f1d5dee0cea70051.png"/><Relationship Id="rId9" Type="http://schemas.openxmlformats.org/officeDocument/2006/relationships/image" Target="media/33724c38715238018805d8234f45b68434f5539a.png"/><Relationship Id="rId10" Type="http://schemas.openxmlformats.org/officeDocument/2006/relationships/image" Target="media/b8045744def2ac55b0e5f29d6103ab194dace37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Microeconomics Week 5 — Taxation</dc:title>
  <dc:creator>Maxim</dc:creator>
  <cp:lastModifiedBy>Un-named</cp:lastModifiedBy>
  <cp:revision>1</cp:revision>
  <dcterms:created xsi:type="dcterms:W3CDTF">2026-09-29T13:56:32.461Z</dcterms:created>
  <dcterms:modified xsi:type="dcterms:W3CDTF">2026-09-29T13:56:32.462Z</dcterms:modified>
</cp:coreProperties>
</file>

<file path=docProps/custom.xml><?xml version="1.0" encoding="utf-8"?>
<Properties xmlns="http://schemas.openxmlformats.org/officeDocument/2006/custom-properties" xmlns:vt="http://schemas.openxmlformats.org/officeDocument/2006/docPropsVTypes"/>
</file>